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F460" w14:textId="23B6C773" w:rsidR="00530CFC" w:rsidRDefault="00984712">
      <w:pPr>
        <w:pStyle w:val="P68B1DB1-Heading31"/>
        <w:spacing w:before="0" w:after="0" w:line="240" w:lineRule="auto"/>
        <w:jc w:val="both"/>
      </w:pPr>
      <w:bookmarkStart w:id="0" w:name="_Toc56589641"/>
      <w:proofErr w:type="spellStart"/>
      <w:r>
        <w:t>Modèle</w:t>
      </w:r>
      <w:proofErr w:type="spellEnd"/>
      <w:r>
        <w:t xml:space="preserve"> de </w:t>
      </w:r>
      <w:proofErr w:type="spellStart"/>
      <w:r>
        <w:t>lettre</w:t>
      </w:r>
      <w:proofErr w:type="spellEnd"/>
      <w:r>
        <w:t xml:space="preserve"> de plaidoyer pour les ambassades de donateurs</w:t>
      </w:r>
      <w:bookmarkEnd w:id="0"/>
    </w:p>
    <w:p w14:paraId="5F9AFC96" w14:textId="77777777" w:rsidR="00530CFC" w:rsidRDefault="00984712">
      <w:pPr>
        <w:pStyle w:val="P68B1DB1-Normal2"/>
        <w:spacing w:after="0" w:line="240" w:lineRule="auto"/>
        <w:jc w:val="both"/>
      </w:pPr>
      <w:r>
        <w:t>Le modèle de lettre de plaidoyer ci-dessous peut être adapté et contextualisé au niveau national ou régional, selon le cas. La lettre peut être envoyée à l'ambassade locale des États donateurs, tels que l'Australie, le Canada, la France, l'Allemagne et la Norvège, pour les encourager à augmenter le financement de la riposte à la tuberculose. Idéalement, un paragraphe sur le contexte spécifique du pays devrait être ajouté pour souligner la pertinence du problème pour le décideur.</w:t>
      </w:r>
    </w:p>
    <w:p w14:paraId="57D8EE0B" w14:textId="77777777" w:rsidR="00530CFC" w:rsidRDefault="00530CFC">
      <w:pPr>
        <w:pBdr>
          <w:bottom w:val="single" w:sz="6" w:space="1" w:color="auto"/>
        </w:pBdr>
        <w:spacing w:after="0" w:line="240" w:lineRule="auto"/>
        <w:jc w:val="both"/>
        <w:rPr>
          <w:rFonts w:asciiTheme="minorHAnsi" w:hAnsiTheme="minorHAnsi" w:cstheme="minorHAnsi"/>
        </w:rPr>
      </w:pPr>
    </w:p>
    <w:p w14:paraId="3830F6E3" w14:textId="77777777" w:rsidR="00530CFC" w:rsidRDefault="00530CFC">
      <w:pPr>
        <w:spacing w:after="0" w:line="240" w:lineRule="auto"/>
        <w:jc w:val="both"/>
        <w:rPr>
          <w:rFonts w:asciiTheme="minorHAnsi" w:hAnsiTheme="minorHAnsi" w:cstheme="minorHAnsi"/>
        </w:rPr>
      </w:pPr>
    </w:p>
    <w:p w14:paraId="497C229A" w14:textId="77777777" w:rsidR="00530CFC" w:rsidRDefault="00984712">
      <w:pPr>
        <w:pStyle w:val="P68B1DB1-Normal2"/>
        <w:spacing w:after="0" w:line="240" w:lineRule="auto"/>
        <w:jc w:val="both"/>
      </w:pPr>
      <w:r>
        <w:t>[</w:t>
      </w:r>
      <w:r>
        <w:rPr>
          <w:highlight w:val="yellow"/>
        </w:rPr>
        <w:t>XX</w:t>
      </w:r>
      <w:r>
        <w:t>] décembre 2020</w:t>
      </w:r>
    </w:p>
    <w:p w14:paraId="3A485A5E" w14:textId="77777777" w:rsidR="00530CFC" w:rsidRDefault="00530CFC">
      <w:pPr>
        <w:spacing w:after="0" w:line="240" w:lineRule="auto"/>
        <w:jc w:val="both"/>
        <w:rPr>
          <w:rFonts w:asciiTheme="minorHAnsi" w:hAnsiTheme="minorHAnsi" w:cstheme="minorHAnsi"/>
        </w:rPr>
      </w:pPr>
    </w:p>
    <w:p w14:paraId="04BF9B9F" w14:textId="77777777" w:rsidR="00530CFC" w:rsidRDefault="00984712">
      <w:pPr>
        <w:pStyle w:val="P68B1DB1-Normal2"/>
        <w:spacing w:after="0" w:line="240" w:lineRule="auto"/>
        <w:jc w:val="both"/>
      </w:pPr>
      <w:r>
        <w:t>Cher(ère),</w:t>
      </w:r>
    </w:p>
    <w:p w14:paraId="45C1E393" w14:textId="77777777" w:rsidR="00530CFC" w:rsidRDefault="00530CFC">
      <w:pPr>
        <w:spacing w:after="0" w:line="240" w:lineRule="auto"/>
        <w:jc w:val="both"/>
        <w:rPr>
          <w:rFonts w:asciiTheme="minorHAnsi" w:hAnsiTheme="minorHAnsi" w:cstheme="minorHAnsi"/>
        </w:rPr>
      </w:pPr>
    </w:p>
    <w:p w14:paraId="3A445CD0" w14:textId="77777777" w:rsidR="00530CFC" w:rsidRDefault="00984712">
      <w:pPr>
        <w:pStyle w:val="P68B1DB1-Normal2"/>
        <w:spacing w:after="0" w:line="240" w:lineRule="auto"/>
        <w:jc w:val="both"/>
      </w:pPr>
      <w:r>
        <w:t>Au nom de [</w:t>
      </w:r>
      <w:r>
        <w:rPr>
          <w:highlight w:val="yellow"/>
        </w:rPr>
        <w:t>Nom de l'organisation</w:t>
      </w:r>
      <w:r>
        <w:t>], je souhaite attirer l'attention sur la nécessité d'intensifier d'urgence les efforts dans la lutte contre la tuberculose. La tuberculose, l'une des maladies infectieuses propagées dans l'air les plus mortelles au monde, continue de causer des morts et des souffrances inutiles alors qu'elle est à la fois évitable et guérissable.</w:t>
      </w:r>
    </w:p>
    <w:p w14:paraId="6BA96C4E" w14:textId="77777777" w:rsidR="00530CFC" w:rsidRDefault="00530CFC">
      <w:pPr>
        <w:spacing w:after="0" w:line="240" w:lineRule="auto"/>
        <w:jc w:val="both"/>
        <w:rPr>
          <w:rFonts w:asciiTheme="minorHAnsi" w:hAnsiTheme="minorHAnsi" w:cstheme="minorHAnsi"/>
        </w:rPr>
      </w:pPr>
    </w:p>
    <w:p w14:paraId="5DACD6E2" w14:textId="722CED52" w:rsidR="00530CFC" w:rsidRDefault="00984712">
      <w:pPr>
        <w:spacing w:after="0" w:line="240" w:lineRule="auto"/>
        <w:jc w:val="both"/>
        <w:rPr>
          <w:rFonts w:asciiTheme="minorHAnsi" w:hAnsiTheme="minorHAnsi" w:cstheme="minorHAnsi"/>
        </w:rPr>
      </w:pPr>
      <w:r>
        <w:rPr>
          <w:rFonts w:asciiTheme="minorHAnsi" w:hAnsiTheme="minorHAnsi" w:cstheme="minorHAnsi"/>
        </w:rPr>
        <w:t xml:space="preserve">En 2018, lors de la toute première Réunion de haut niveau des Nations Unies sur la tuberculose, les dirigeants du monde se sont entendus sur une déclaration politique, </w:t>
      </w:r>
      <w:hyperlink r:id="rId5" w:history="1">
        <w:r>
          <w:rPr>
            <w:rStyle w:val="Hyperlink"/>
            <w:rFonts w:asciiTheme="minorHAnsi" w:hAnsiTheme="minorHAnsi" w:cstheme="minorHAnsi"/>
            <w:i/>
          </w:rPr>
          <w:t>Unis pour mettre fin à la tuberculose : une réponse urgente à une épidémie mondiale</w:t>
        </w:r>
      </w:hyperlink>
      <w:r>
        <w:rPr>
          <w:rFonts w:asciiTheme="minorHAnsi" w:hAnsiTheme="minorHAnsi" w:cstheme="minorHAnsi"/>
        </w:rPr>
        <w:t xml:space="preserve">, s'engageant à intensifier leurs efforts pour lutter contre la tuberculose. Les chefs de gouvernement et d'État ont convenu d'objectifs mondiaux. L'échéance 2022 pour la réalisation de ces objectifs approche à grands pas, mais le </w:t>
      </w:r>
      <w:hyperlink r:id="rId6" w:history="1">
        <w:r>
          <w:rPr>
            <w:rStyle w:val="Hyperlink"/>
            <w:rFonts w:asciiTheme="minorHAnsi" w:hAnsiTheme="minorHAnsi" w:cstheme="minorHAnsi"/>
          </w:rPr>
          <w:t>rapport 2020</w:t>
        </w:r>
      </w:hyperlink>
      <w:r>
        <w:rPr>
          <w:rFonts w:asciiTheme="minorHAnsi" w:hAnsiTheme="minorHAnsi" w:cstheme="minorHAnsi"/>
        </w:rPr>
        <w:t xml:space="preserve"> du secrétaire général de l'ONU a constaté que les progrès sont trop faibles et trop </w:t>
      </w:r>
      <w:proofErr w:type="spellStart"/>
      <w:r>
        <w:rPr>
          <w:rFonts w:asciiTheme="minorHAnsi" w:hAnsiTheme="minorHAnsi" w:cstheme="minorHAnsi"/>
        </w:rPr>
        <w:t>lents</w:t>
      </w:r>
      <w:proofErr w:type="spellEnd"/>
      <w:r>
        <w:rPr>
          <w:rFonts w:asciiTheme="minorHAnsi" w:hAnsiTheme="minorHAnsi" w:cstheme="minorHAnsi"/>
        </w:rPr>
        <w:t xml:space="preserve"> et </w:t>
      </w:r>
      <w:proofErr w:type="spellStart"/>
      <w:r>
        <w:rPr>
          <w:rFonts w:asciiTheme="minorHAnsi" w:hAnsiTheme="minorHAnsi" w:cstheme="minorHAnsi"/>
        </w:rPr>
        <w:t>qu'il</w:t>
      </w:r>
      <w:proofErr w:type="spellEnd"/>
      <w:r>
        <w:rPr>
          <w:rFonts w:asciiTheme="minorHAnsi" w:hAnsiTheme="minorHAnsi" w:cstheme="minorHAnsi"/>
        </w:rPr>
        <w:t xml:space="preserve"> </w:t>
      </w:r>
      <w:proofErr w:type="spellStart"/>
      <w:r>
        <w:rPr>
          <w:rFonts w:asciiTheme="minorHAnsi" w:hAnsiTheme="minorHAnsi" w:cstheme="minorHAnsi"/>
        </w:rPr>
        <w:t>existe</w:t>
      </w:r>
      <w:proofErr w:type="spellEnd"/>
      <w:r>
        <w:rPr>
          <w:rFonts w:asciiTheme="minorHAnsi" w:hAnsiTheme="minorHAnsi" w:cstheme="minorHAnsi"/>
        </w:rPr>
        <w:t xml:space="preserve"> un é</w:t>
      </w:r>
      <w:proofErr w:type="spellStart"/>
      <w:r w:rsidR="006E4C5F" w:rsidRPr="006E4C5F">
        <w:rPr>
          <w:rFonts w:asciiTheme="minorHAnsi" w:hAnsiTheme="minorHAnsi" w:cstheme="minorHAnsi"/>
          <w:lang w:val="fr-CH"/>
        </w:rPr>
        <w:t>ca</w:t>
      </w:r>
      <w:r w:rsidR="006E4C5F">
        <w:rPr>
          <w:rFonts w:asciiTheme="minorHAnsi" w:hAnsiTheme="minorHAnsi" w:cstheme="minorHAnsi"/>
          <w:lang w:val="fr-CH"/>
        </w:rPr>
        <w:t>rt</w:t>
      </w:r>
      <w:proofErr w:type="spellEnd"/>
      <w:r>
        <w:rPr>
          <w:rFonts w:asciiTheme="minorHAnsi" w:hAnsiTheme="minorHAnsi" w:cstheme="minorHAnsi"/>
        </w:rPr>
        <w:t xml:space="preserve"> entre les engagements pris et les </w:t>
      </w:r>
      <w:proofErr w:type="spellStart"/>
      <w:r>
        <w:rPr>
          <w:rFonts w:asciiTheme="minorHAnsi" w:hAnsiTheme="minorHAnsi" w:cstheme="minorHAnsi"/>
        </w:rPr>
        <w:t>réalités</w:t>
      </w:r>
      <w:proofErr w:type="spellEnd"/>
      <w:r>
        <w:rPr>
          <w:rFonts w:asciiTheme="minorHAnsi" w:hAnsiTheme="minorHAnsi" w:cstheme="minorHAnsi"/>
        </w:rPr>
        <w:t xml:space="preserve"> </w:t>
      </w:r>
      <w:proofErr w:type="spellStart"/>
      <w:r>
        <w:rPr>
          <w:rFonts w:asciiTheme="minorHAnsi" w:hAnsiTheme="minorHAnsi" w:cstheme="minorHAnsi"/>
        </w:rPr>
        <w:t>vécues</w:t>
      </w:r>
      <w:proofErr w:type="spellEnd"/>
      <w:r>
        <w:rPr>
          <w:rFonts w:asciiTheme="minorHAnsi" w:hAnsiTheme="minorHAnsi" w:cstheme="minorHAnsi"/>
        </w:rPr>
        <w:t xml:space="preserve"> sur le terrain.</w:t>
      </w:r>
    </w:p>
    <w:p w14:paraId="4ABC8154" w14:textId="77777777" w:rsidR="00530CFC" w:rsidRDefault="00530CFC">
      <w:pPr>
        <w:spacing w:after="0" w:line="240" w:lineRule="auto"/>
        <w:jc w:val="both"/>
        <w:rPr>
          <w:rFonts w:asciiTheme="minorHAnsi" w:hAnsiTheme="minorHAnsi" w:cstheme="minorHAnsi"/>
        </w:rPr>
      </w:pPr>
    </w:p>
    <w:p w14:paraId="3CBA5C91" w14:textId="7BBED9D5" w:rsidR="00530CFC" w:rsidRDefault="00984712">
      <w:pPr>
        <w:spacing w:after="0" w:line="240" w:lineRule="auto"/>
        <w:jc w:val="both"/>
        <w:rPr>
          <w:rFonts w:asciiTheme="minorHAnsi" w:hAnsiTheme="minorHAnsi" w:cstheme="minorHAnsi"/>
        </w:rPr>
      </w:pPr>
      <w:r>
        <w:rPr>
          <w:rFonts w:asciiTheme="minorHAnsi" w:hAnsiTheme="minorHAnsi" w:cstheme="minorHAnsi"/>
        </w:rPr>
        <w:t xml:space="preserve">Parallèlement au rapport du SGNU, les communautés touchées par la tuberculose et la société civile ont produit </w:t>
      </w:r>
      <w:hyperlink r:id="rId7" w:history="1">
        <w:r w:rsidRPr="00210FD4">
          <w:rPr>
            <w:rStyle w:val="Hyperlink"/>
            <w:rFonts w:asciiTheme="minorHAnsi" w:hAnsiTheme="minorHAnsi" w:cstheme="minorHAnsi"/>
            <w:i/>
          </w:rPr>
          <w:t>A Deadly Divide: TB Commitments vs TB Realities – Un é</w:t>
        </w:r>
        <w:proofErr w:type="spellStart"/>
        <w:r w:rsidR="006E4C5F" w:rsidRPr="006E4C5F">
          <w:rPr>
            <w:rStyle w:val="Hyperlink"/>
            <w:rFonts w:asciiTheme="minorHAnsi" w:hAnsiTheme="minorHAnsi" w:cstheme="minorHAnsi"/>
            <w:i/>
            <w:lang w:val="fr-CH"/>
          </w:rPr>
          <w:t>c</w:t>
        </w:r>
        <w:r w:rsidR="006E4C5F">
          <w:rPr>
            <w:rStyle w:val="Hyperlink"/>
            <w:rFonts w:asciiTheme="minorHAnsi" w:hAnsiTheme="minorHAnsi" w:cstheme="minorHAnsi"/>
            <w:i/>
            <w:lang w:val="fr-CH"/>
          </w:rPr>
          <w:t>art</w:t>
        </w:r>
        <w:proofErr w:type="spellEnd"/>
        <w:r w:rsidRPr="00210FD4">
          <w:rPr>
            <w:rStyle w:val="Hyperlink"/>
            <w:rFonts w:asciiTheme="minorHAnsi" w:hAnsiTheme="minorHAnsi" w:cstheme="minorHAnsi"/>
            <w:i/>
          </w:rPr>
          <w:t xml:space="preserve"> </w:t>
        </w:r>
        <w:r w:rsidR="00864779" w:rsidRPr="00864779">
          <w:rPr>
            <w:rStyle w:val="Hyperlink"/>
            <w:rFonts w:asciiTheme="minorHAnsi" w:hAnsiTheme="minorHAnsi" w:cstheme="minorHAnsi"/>
            <w:i/>
            <w:lang w:val="fr-CH"/>
          </w:rPr>
          <w:t>f</w:t>
        </w:r>
        <w:r w:rsidR="00864779">
          <w:rPr>
            <w:rStyle w:val="Hyperlink"/>
            <w:rFonts w:asciiTheme="minorHAnsi" w:hAnsiTheme="minorHAnsi" w:cstheme="minorHAnsi"/>
            <w:i/>
            <w:lang w:val="fr-CH"/>
          </w:rPr>
          <w:t>atal</w:t>
        </w:r>
        <w:r w:rsidRPr="00210FD4">
          <w:rPr>
            <w:rStyle w:val="Hyperlink"/>
            <w:rFonts w:asciiTheme="minorHAnsi" w:hAnsiTheme="minorHAnsi" w:cstheme="minorHAnsi"/>
            <w:i/>
          </w:rPr>
          <w:t xml:space="preserve"> : engagements </w:t>
        </w:r>
        <w:proofErr w:type="spellStart"/>
        <w:r w:rsidRPr="00210FD4">
          <w:rPr>
            <w:rStyle w:val="Hyperlink"/>
            <w:rFonts w:asciiTheme="minorHAnsi" w:hAnsiTheme="minorHAnsi" w:cstheme="minorHAnsi"/>
            <w:i/>
          </w:rPr>
          <w:t>contre</w:t>
        </w:r>
        <w:proofErr w:type="spellEnd"/>
        <w:r w:rsidRPr="00210FD4">
          <w:rPr>
            <w:rStyle w:val="Hyperlink"/>
            <w:rFonts w:asciiTheme="minorHAnsi" w:hAnsiTheme="minorHAnsi" w:cstheme="minorHAnsi"/>
            <w:i/>
          </w:rPr>
          <w:t xml:space="preserve"> la </w:t>
        </w:r>
        <w:proofErr w:type="spellStart"/>
        <w:r w:rsidRPr="00210FD4">
          <w:rPr>
            <w:rStyle w:val="Hyperlink"/>
            <w:rFonts w:asciiTheme="minorHAnsi" w:hAnsiTheme="minorHAnsi" w:cstheme="minorHAnsi"/>
            <w:i/>
          </w:rPr>
          <w:t>tuberculose</w:t>
        </w:r>
        <w:proofErr w:type="spellEnd"/>
        <w:r w:rsidRPr="00210FD4">
          <w:rPr>
            <w:rStyle w:val="Hyperlink"/>
            <w:rFonts w:asciiTheme="minorHAnsi" w:hAnsiTheme="minorHAnsi" w:cstheme="minorHAnsi"/>
            <w:i/>
          </w:rPr>
          <w:t xml:space="preserve"> et </w:t>
        </w:r>
        <w:proofErr w:type="spellStart"/>
        <w:r w:rsidRPr="00210FD4">
          <w:rPr>
            <w:rStyle w:val="Hyperlink"/>
            <w:rFonts w:asciiTheme="minorHAnsi" w:hAnsiTheme="minorHAnsi" w:cstheme="minorHAnsi"/>
            <w:i/>
          </w:rPr>
          <w:t>réalités</w:t>
        </w:r>
        <w:proofErr w:type="spellEnd"/>
        <w:r w:rsidRPr="00210FD4">
          <w:rPr>
            <w:rStyle w:val="Hyperlink"/>
            <w:rFonts w:asciiTheme="minorHAnsi" w:hAnsiTheme="minorHAnsi" w:cstheme="minorHAnsi"/>
            <w:i/>
          </w:rPr>
          <w:t xml:space="preserve"> de la </w:t>
        </w:r>
        <w:proofErr w:type="spellStart"/>
        <w:r w:rsidRPr="00210FD4">
          <w:rPr>
            <w:rStyle w:val="Hyperlink"/>
            <w:rFonts w:asciiTheme="minorHAnsi" w:hAnsiTheme="minorHAnsi" w:cstheme="minorHAnsi"/>
            <w:i/>
          </w:rPr>
          <w:t>tuberculose</w:t>
        </w:r>
        <w:proofErr w:type="spellEnd"/>
      </w:hyperlink>
      <w:r>
        <w:rPr>
          <w:rFonts w:asciiTheme="minorHAnsi" w:hAnsiTheme="minorHAnsi" w:cstheme="minorHAnsi"/>
          <w:i/>
        </w:rPr>
        <w:t>)</w:t>
      </w:r>
      <w:r>
        <w:rPr>
          <w:rStyle w:val="CommentReference"/>
          <w:rFonts w:asciiTheme="minorHAnsi" w:hAnsiTheme="minorHAnsi" w:cstheme="minorHAnsi"/>
          <w:sz w:val="22"/>
        </w:rPr>
        <w:t xml:space="preserve">. Le rapport – et </w:t>
      </w:r>
      <w:hyperlink r:id="rId8" w:history="1">
        <w:proofErr w:type="spellStart"/>
        <w:r w:rsidRPr="003034BA">
          <w:rPr>
            <w:rStyle w:val="Hyperlink"/>
            <w:rFonts w:asciiTheme="minorHAnsi" w:hAnsiTheme="minorHAnsi" w:cstheme="minorHAnsi"/>
          </w:rPr>
          <w:t>l'appel</w:t>
        </w:r>
        <w:proofErr w:type="spellEnd"/>
        <w:r w:rsidRPr="003034BA">
          <w:rPr>
            <w:rStyle w:val="Hyperlink"/>
            <w:rFonts w:asciiTheme="minorHAnsi" w:hAnsiTheme="minorHAnsi" w:cstheme="minorHAnsi"/>
          </w:rPr>
          <w:t xml:space="preserve"> à </w:t>
        </w:r>
        <w:proofErr w:type="spellStart"/>
        <w:r w:rsidRPr="003034BA">
          <w:rPr>
            <w:rStyle w:val="Hyperlink"/>
            <w:rFonts w:asciiTheme="minorHAnsi" w:hAnsiTheme="minorHAnsi" w:cstheme="minorHAnsi"/>
          </w:rPr>
          <w:t>l'action</w:t>
        </w:r>
        <w:proofErr w:type="spellEnd"/>
      </w:hyperlink>
      <w:r>
        <w:rPr>
          <w:rFonts w:asciiTheme="minorHAnsi" w:hAnsiTheme="minorHAnsi" w:cstheme="minorHAnsi"/>
        </w:rPr>
        <w:t xml:space="preserve"> qui </w:t>
      </w:r>
      <w:proofErr w:type="spellStart"/>
      <w:r>
        <w:rPr>
          <w:rFonts w:asciiTheme="minorHAnsi" w:hAnsiTheme="minorHAnsi" w:cstheme="minorHAnsi"/>
        </w:rPr>
        <w:t>l'accompagne</w:t>
      </w:r>
      <w:proofErr w:type="spellEnd"/>
      <w:r>
        <w:rPr>
          <w:rFonts w:asciiTheme="minorHAnsi" w:hAnsiTheme="minorHAnsi" w:cstheme="minorHAnsi"/>
        </w:rPr>
        <w:t xml:space="preserve"> </w:t>
      </w:r>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exhorte</w:t>
      </w:r>
      <w:proofErr w:type="spellEnd"/>
      <w:r>
        <w:rPr>
          <w:rStyle w:val="CommentReference"/>
          <w:rFonts w:asciiTheme="minorHAnsi" w:hAnsiTheme="minorHAnsi" w:cstheme="minorHAnsi"/>
          <w:sz w:val="22"/>
        </w:rPr>
        <w:t xml:space="preserve"> les </w:t>
      </w:r>
      <w:proofErr w:type="spellStart"/>
      <w:r>
        <w:rPr>
          <w:rStyle w:val="CommentReference"/>
          <w:rFonts w:asciiTheme="minorHAnsi" w:hAnsiTheme="minorHAnsi" w:cstheme="minorHAnsi"/>
          <w:sz w:val="22"/>
        </w:rPr>
        <w:t>États</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membres</w:t>
      </w:r>
      <w:proofErr w:type="spellEnd"/>
      <w:r>
        <w:rPr>
          <w:rStyle w:val="CommentReference"/>
          <w:rFonts w:asciiTheme="minorHAnsi" w:hAnsiTheme="minorHAnsi" w:cstheme="minorHAnsi"/>
          <w:sz w:val="22"/>
        </w:rPr>
        <w:t xml:space="preserve"> des Nations Unies à actualiser, financer et rendre opérationnelle la riposte à la tuberculose afin de refléter les priorités des personnes les plus touchées par la maladie. Les gouvernements doivent garantir l'engagement significatif des communautés touchées par la tuberculose et de la société civile à chaque étape du processus.</w:t>
      </w:r>
    </w:p>
    <w:p w14:paraId="547DF37A" w14:textId="77777777" w:rsidR="00530CFC" w:rsidRDefault="00530CFC">
      <w:pPr>
        <w:spacing w:after="0" w:line="240" w:lineRule="auto"/>
        <w:jc w:val="both"/>
        <w:rPr>
          <w:rFonts w:asciiTheme="minorHAnsi" w:hAnsiTheme="minorHAnsi" w:cstheme="minorHAnsi"/>
        </w:rPr>
      </w:pPr>
    </w:p>
    <w:p w14:paraId="7EF27020" w14:textId="77777777" w:rsidR="00530CFC" w:rsidRDefault="00984712">
      <w:pPr>
        <w:pStyle w:val="P68B1DB1-Normal2"/>
        <w:spacing w:after="0" w:line="240" w:lineRule="auto"/>
        <w:jc w:val="both"/>
      </w:pPr>
      <w:r>
        <w:t>La pandémie de la COVID-19 a affecté le monde entier et la communauté internationale s'est mobilisée pour relever l'énorme défi qu'elle présente. Il est possible de tirer parti de l'infrastructure et des investissements de la COVID-19 pour améliorer la riposte à la tuberculose, intégrer le dépistage et le suivi de la tuberculose et du COVID-19, et renforcer les efforts pour surmonter les obstacles auxquels les personnes continuent d'être confrontées pour l'accès aux services de lutte contre la tuberculose.</w:t>
      </w:r>
    </w:p>
    <w:p w14:paraId="35C46F8A" w14:textId="77777777" w:rsidR="00530CFC" w:rsidRDefault="00530CFC">
      <w:pPr>
        <w:spacing w:after="0" w:line="240" w:lineRule="auto"/>
        <w:jc w:val="both"/>
        <w:rPr>
          <w:rFonts w:asciiTheme="minorHAnsi" w:hAnsiTheme="minorHAnsi" w:cstheme="minorHAnsi"/>
        </w:rPr>
      </w:pPr>
    </w:p>
    <w:p w14:paraId="4BF7DAF9" w14:textId="4F848E2A" w:rsidR="00530CFC" w:rsidRDefault="00984712">
      <w:pPr>
        <w:pStyle w:val="P68B1DB1-Normal2"/>
        <w:spacing w:after="0" w:line="240" w:lineRule="auto"/>
        <w:jc w:val="both"/>
      </w:pPr>
      <w:r>
        <w:t xml:space="preserve">En tant que donateur important dans le domaine de la santé humanitaire et mondiale, je vous exhorte à travailler en étroite collaboration avec les communautés touchées par la tuberculose, la société civile et le gouvernement national pour mettre en œuvre les 6 domaines d'action de </w:t>
      </w:r>
      <w:r>
        <w:rPr>
          <w:i/>
        </w:rPr>
        <w:t>A Deadly Divide</w:t>
      </w:r>
      <w:r>
        <w:t xml:space="preserve"> pour :</w:t>
      </w:r>
    </w:p>
    <w:p w14:paraId="7E985420" w14:textId="77777777" w:rsidR="00530CFC" w:rsidRDefault="00530CFC">
      <w:pPr>
        <w:spacing w:after="0" w:line="240" w:lineRule="auto"/>
        <w:jc w:val="both"/>
        <w:rPr>
          <w:rFonts w:asciiTheme="minorHAnsi" w:hAnsiTheme="minorHAnsi" w:cstheme="minorHAnsi"/>
        </w:rPr>
      </w:pPr>
    </w:p>
    <w:p w14:paraId="34E04F61" w14:textId="77777777" w:rsidR="00530CFC" w:rsidRDefault="00984712">
      <w:pPr>
        <w:pStyle w:val="P68B1DB1-ListParagraph3"/>
        <w:numPr>
          <w:ilvl w:val="0"/>
          <w:numId w:val="1"/>
        </w:numPr>
        <w:spacing w:after="0" w:line="240" w:lineRule="auto"/>
        <w:jc w:val="both"/>
      </w:pPr>
      <w:r>
        <w:t>atteindre toutes les personnes avec la prévention, le diagnostic, le traitement et les soins de la tuberculose avec des objectifs nationaux ambitieux et assortis de délais afin de mettre en œuvre la Déclaration politique sur la tuberculose d'ici 2022 ;</w:t>
      </w:r>
    </w:p>
    <w:p w14:paraId="1C520A8A" w14:textId="77777777" w:rsidR="00530CFC" w:rsidRDefault="00984712">
      <w:pPr>
        <w:pStyle w:val="P68B1DB1-ListParagraph3"/>
        <w:numPr>
          <w:ilvl w:val="0"/>
          <w:numId w:val="1"/>
        </w:numPr>
        <w:spacing w:after="0" w:line="240" w:lineRule="auto"/>
        <w:jc w:val="both"/>
      </w:pPr>
      <w:r>
        <w:t>investir les fonds nécessaires pour atteindre 100 % des objectifs mondiaux d'investissement financier dans la riposte à la tuberculose, avec un financement pour des interventions de lutte contre la tuberculose communautaires et dirigées par la communauté ;</w:t>
      </w:r>
    </w:p>
    <w:p w14:paraId="126B22DB" w14:textId="77777777" w:rsidR="00530CFC" w:rsidRDefault="00984712">
      <w:pPr>
        <w:pStyle w:val="P68B1DB1-ListParagraph3"/>
        <w:numPr>
          <w:ilvl w:val="0"/>
          <w:numId w:val="1"/>
        </w:numPr>
        <w:spacing w:after="0" w:line="240" w:lineRule="auto"/>
        <w:jc w:val="both"/>
      </w:pPr>
      <w:r>
        <w:lastRenderedPageBreak/>
        <w:t>accélérer le développement de nouveaux outils essentiels et en améliorer l'accès pour mettre fin à la tuberculose, en actualisant les politiques nationales de lutte contre la tuberculose conformément aux recommandations de l'OMS avant la prochaine Journée mondiale de la tuberculose, le 24 mars 2021 ;</w:t>
      </w:r>
    </w:p>
    <w:p w14:paraId="3324F36A" w14:textId="77777777" w:rsidR="00530CFC" w:rsidRDefault="00984712">
      <w:pPr>
        <w:pStyle w:val="P68B1DB1-ListParagraph3"/>
        <w:numPr>
          <w:ilvl w:val="0"/>
          <w:numId w:val="1"/>
        </w:numPr>
        <w:spacing w:after="0" w:line="240" w:lineRule="auto"/>
        <w:jc w:val="both"/>
      </w:pPr>
      <w:r>
        <w:t>faire en sorte que la riposte à la tuberculose soit fondée sur les droits, équitable et sans stigmatisation, centrée sur les communautés, en mettant en œuvre des plans d'action nationaux pour les communautés, les droits et le genre et des stratégies de réduction de la stigmatisation ;</w:t>
      </w:r>
    </w:p>
    <w:p w14:paraId="2B9B0AC4" w14:textId="77777777" w:rsidR="00530CFC" w:rsidRDefault="00984712">
      <w:pPr>
        <w:pStyle w:val="P68B1DB1-ListParagraph3"/>
        <w:numPr>
          <w:ilvl w:val="0"/>
          <w:numId w:val="1"/>
        </w:numPr>
        <w:spacing w:after="0" w:line="240" w:lineRule="auto"/>
        <w:jc w:val="both"/>
      </w:pPr>
      <w:r>
        <w:t>mettre en œuvre d'urgence un cadre national de responsabilité multisectorielle indépendant pour la tuberculose dans chaque pays, renforcer la responsabilisation grâce à des rapports annuels sur les progrès nationaux et mondiaux, et organiser une réunion de suivi de haut niveau des Nations Unies sur la tuberculose en 2023 ; et</w:t>
      </w:r>
    </w:p>
    <w:p w14:paraId="75F8D233" w14:textId="77777777" w:rsidR="00530CFC" w:rsidRDefault="00984712">
      <w:pPr>
        <w:pStyle w:val="P68B1DB1-ListParagraph3"/>
        <w:numPr>
          <w:ilvl w:val="0"/>
          <w:numId w:val="1"/>
        </w:numPr>
        <w:spacing w:after="0" w:line="240" w:lineRule="auto"/>
        <w:jc w:val="both"/>
      </w:pPr>
      <w:r>
        <w:t>tirer parti de la Covid-19 comme opportunité stratégique pour mettre fin à la tuberculose en développant, finançant et mettant en œuvre des plans de rattrapage tuberculose/COVID.</w:t>
      </w:r>
    </w:p>
    <w:p w14:paraId="65A4D5ED" w14:textId="77777777" w:rsidR="00530CFC" w:rsidRDefault="00530CFC">
      <w:pPr>
        <w:spacing w:after="0" w:line="240" w:lineRule="auto"/>
        <w:jc w:val="both"/>
        <w:rPr>
          <w:rFonts w:asciiTheme="minorHAnsi" w:hAnsiTheme="minorHAnsi" w:cstheme="minorHAnsi"/>
        </w:rPr>
      </w:pPr>
    </w:p>
    <w:p w14:paraId="7FAFD869" w14:textId="77777777" w:rsidR="00530CFC" w:rsidRDefault="00984712">
      <w:pPr>
        <w:pStyle w:val="P68B1DB1-Normal2"/>
        <w:spacing w:after="0" w:line="240" w:lineRule="auto"/>
        <w:jc w:val="both"/>
      </w:pPr>
      <w:r>
        <w:t>Nous serions heureux de pouvoir discuter avec vous de la manière dont nous pouvons travailler ensemble pour rendre la tuberculose guérissable pour tous et réduire le terrible bilan de cette maladie mortelle.</w:t>
      </w:r>
    </w:p>
    <w:p w14:paraId="180E22E4" w14:textId="77777777" w:rsidR="00530CFC" w:rsidRDefault="00530CFC">
      <w:pPr>
        <w:spacing w:after="0" w:line="240" w:lineRule="auto"/>
        <w:jc w:val="both"/>
        <w:rPr>
          <w:rFonts w:asciiTheme="minorHAnsi" w:hAnsiTheme="minorHAnsi" w:cstheme="minorHAnsi"/>
        </w:rPr>
      </w:pPr>
    </w:p>
    <w:p w14:paraId="715D4A49" w14:textId="77777777" w:rsidR="00530CFC" w:rsidRDefault="00984712">
      <w:pPr>
        <w:pStyle w:val="P68B1DB1-Normal2"/>
        <w:spacing w:after="0" w:line="240" w:lineRule="auto"/>
        <w:jc w:val="both"/>
      </w:pPr>
      <w:r>
        <w:t>Bien cordialement,</w:t>
      </w:r>
    </w:p>
    <w:p w14:paraId="7D03B958" w14:textId="77777777" w:rsidR="00530CFC" w:rsidRDefault="00530CFC">
      <w:pPr>
        <w:rPr>
          <w:rFonts w:asciiTheme="minorHAnsi" w:hAnsiTheme="minorHAnsi" w:cstheme="minorHAnsi"/>
        </w:rPr>
      </w:pPr>
    </w:p>
    <w:sectPr w:rsidR="00530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5E"/>
    <w:rsid w:val="00210FD4"/>
    <w:rsid w:val="003034BA"/>
    <w:rsid w:val="004D395E"/>
    <w:rsid w:val="00530CFC"/>
    <w:rsid w:val="00685E09"/>
    <w:rsid w:val="006E4C5F"/>
    <w:rsid w:val="00864779"/>
    <w:rsid w:val="00984712"/>
    <w:rsid w:val="00C354C4"/>
    <w:rsid w:val="00C608CE"/>
    <w:rsid w:val="00F2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D48"/>
  <w15:chartTrackingRefBased/>
  <w15:docId w15:val="{27FAE014-96C3-4F95-A7C4-C8AF0F36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5E"/>
    <w:rPr>
      <w:rFonts w:ascii="Calibri" w:eastAsia="Calibri" w:hAnsi="Calibri" w:cs="Calibri"/>
    </w:rPr>
  </w:style>
  <w:style w:type="paragraph" w:styleId="Heading3">
    <w:name w:val="heading 3"/>
    <w:basedOn w:val="Normal"/>
    <w:next w:val="Normal"/>
    <w:link w:val="Heading3Char"/>
    <w:uiPriority w:val="9"/>
    <w:unhideWhenUsed/>
    <w:qFormat/>
    <w:rsid w:val="004D395E"/>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95E"/>
    <w:rPr>
      <w:rFonts w:ascii="Calibri" w:eastAsia="Calibri" w:hAnsi="Calibri" w:cs="Calibri"/>
      <w:b/>
      <w:sz w:val="28"/>
    </w:rPr>
  </w:style>
  <w:style w:type="paragraph" w:styleId="CommentText">
    <w:name w:val="annotation text"/>
    <w:basedOn w:val="Normal"/>
    <w:link w:val="CommentTextChar"/>
    <w:uiPriority w:val="99"/>
    <w:unhideWhenUsed/>
    <w:rsid w:val="004D395E"/>
    <w:pPr>
      <w:spacing w:line="240" w:lineRule="auto"/>
    </w:pPr>
    <w:rPr>
      <w:sz w:val="20"/>
    </w:rPr>
  </w:style>
  <w:style w:type="character" w:customStyle="1" w:styleId="CommentTextChar">
    <w:name w:val="Comment Text Char"/>
    <w:basedOn w:val="DefaultParagraphFont"/>
    <w:link w:val="CommentText"/>
    <w:uiPriority w:val="99"/>
    <w:rsid w:val="004D395E"/>
    <w:rPr>
      <w:rFonts w:ascii="Calibri" w:eastAsia="Calibri" w:hAnsi="Calibri" w:cs="Calibri"/>
      <w:sz w:val="20"/>
    </w:rPr>
  </w:style>
  <w:style w:type="character" w:styleId="CommentReference">
    <w:name w:val="annotation reference"/>
    <w:basedOn w:val="DefaultParagraphFont"/>
    <w:uiPriority w:val="99"/>
    <w:semiHidden/>
    <w:unhideWhenUsed/>
    <w:rsid w:val="004D395E"/>
    <w:rPr>
      <w:sz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4D395E"/>
    <w:pPr>
      <w:ind w:left="720"/>
      <w:contextualSpacing/>
    </w:pPr>
  </w:style>
  <w:style w:type="character" w:styleId="Hyperlink">
    <w:name w:val="Hyperlink"/>
    <w:basedOn w:val="DefaultParagraphFont"/>
    <w:uiPriority w:val="99"/>
    <w:unhideWhenUsed/>
    <w:rsid w:val="004D395E"/>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4D395E"/>
    <w:rPr>
      <w:rFonts w:ascii="Calibri" w:eastAsia="Calibri" w:hAnsi="Calibri" w:cs="Calibri"/>
    </w:rPr>
  </w:style>
  <w:style w:type="paragraph" w:styleId="BalloonText">
    <w:name w:val="Balloon Text"/>
    <w:basedOn w:val="Normal"/>
    <w:link w:val="BalloonTextChar"/>
    <w:uiPriority w:val="99"/>
    <w:semiHidden/>
    <w:unhideWhenUsed/>
    <w:rsid w:val="004D395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395E"/>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ListParagraph3">
    <w:name w:val="P68B1DB1-ListParagraph3"/>
    <w:basedOn w:val="ListParagraph"/>
    <w:rPr>
      <w:rFonts w:asciiTheme="minorHAnsi" w:hAnsiTheme="minorHAnsi" w:cstheme="minorHAnsi"/>
    </w:rPr>
  </w:style>
  <w:style w:type="character" w:styleId="UnresolvedMention">
    <w:name w:val="Unresolved Mention"/>
    <w:basedOn w:val="DefaultParagraphFont"/>
    <w:uiPriority w:val="99"/>
    <w:semiHidden/>
    <w:unhideWhenUsed/>
    <w:rsid w:val="0030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20262_DeadlyDivide_CallToAction-FR_v01_RC_003.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9</cp:revision>
  <dcterms:created xsi:type="dcterms:W3CDTF">2020-11-27T10:44:00Z</dcterms:created>
  <dcterms:modified xsi:type="dcterms:W3CDTF">2020-12-14T13:11:00Z</dcterms:modified>
</cp:coreProperties>
</file>