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5B3ED" w14:textId="77777777" w:rsidR="00F53CFF" w:rsidRDefault="00F53CFF" w:rsidP="00A4279D">
      <w:pPr>
        <w:ind w:left="720"/>
      </w:pPr>
      <w:r w:rsidRPr="00F53CFF">
        <w:rPr>
          <w:noProof/>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2FBFB83"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2DA85497" w:rsidR="00F53CFF" w:rsidRDefault="00A558F1" w:rsidP="00F53CFF">
      <w:pPr>
        <w:spacing w:after="0"/>
      </w:pPr>
      <w:r>
        <w:rPr>
          <w:noProof/>
        </w:rPr>
        <mc:AlternateContent>
          <mc:Choice Requires="wps">
            <w:drawing>
              <wp:anchor distT="0" distB="0" distL="114300" distR="114300" simplePos="0" relativeHeight="251661312" behindDoc="0" locked="0" layoutInCell="1" allowOverlap="1" wp14:anchorId="1766D3DE" wp14:editId="093EA546">
                <wp:simplePos x="0" y="0"/>
                <wp:positionH relativeFrom="column">
                  <wp:posOffset>1773555</wp:posOffset>
                </wp:positionH>
                <wp:positionV relativeFrom="paragraph">
                  <wp:posOffset>5109845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1A811D25"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A74BF">
                              <w:rPr>
                                <w:rFonts w:ascii="Trebuchet MS" w:hAnsi="Trebuchet MS"/>
                                <w:color w:val="7F7F7F" w:themeColor="text1" w:themeTint="80"/>
                                <w:sz w:val="32"/>
                                <w:szCs w:val="32"/>
                              </w:rPr>
                              <w:t xml:space="preserve"> (FG2)</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66D3DE" id="_x0000_t202" coordsize="21600,21600" o:spt="202" path="m0,0l0,21600,21600,21600,21600,0xe">
                <v:stroke joinstyle="miter"/>
                <v:path gradientshapeok="t" o:connecttype="rect"/>
              </v:shapetype>
              <v:shape id="Text Box 3" o:spid="_x0000_s1026" type="#_x0000_t202" style="position:absolute;margin-left:139.65pt;margin-top:402.3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" filled="f" stroked="f">
                <v:textbox>
                  <w:txbxContent>
                    <w:p w14:paraId="5A61FF05" w14:textId="1A811D25"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A74BF">
                        <w:rPr>
                          <w:rFonts w:ascii="Trebuchet MS" w:hAnsi="Trebuchet MS"/>
                          <w:color w:val="7F7F7F" w:themeColor="text1" w:themeTint="80"/>
                          <w:sz w:val="32"/>
                          <w:szCs w:val="32"/>
                        </w:rPr>
                        <w:t xml:space="preserve"> (FG2)</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1B7F0A6C" wp14:editId="2DC1F10F">
                <wp:simplePos x="0" y="0"/>
                <wp:positionH relativeFrom="column">
                  <wp:posOffset>1772920</wp:posOffset>
                </wp:positionH>
                <wp:positionV relativeFrom="margin">
                  <wp:posOffset>3776345</wp:posOffset>
                </wp:positionV>
                <wp:extent cx="4114800" cy="246253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24625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0EAC16" w14:textId="4F665DD2" w:rsidR="00F53CFF" w:rsidRPr="002F4710" w:rsidRDefault="002F4710">
                            <w:pPr>
                              <w:rPr>
                                <w:rFonts w:ascii="Trebuchet MS" w:hAnsi="Trebuchet MS"/>
                                <w:b/>
                                <w:i/>
                                <w:sz w:val="52"/>
                                <w:szCs w:val="52"/>
                              </w:rPr>
                            </w:pPr>
                            <w:r w:rsidRPr="002F4710">
                              <w:rPr>
                                <w:rFonts w:ascii="Trebuchet MS" w:hAnsi="Trebuchet MS"/>
                                <w:b/>
                                <w:i/>
                                <w:sz w:val="52"/>
                                <w:szCs w:val="52"/>
                              </w:rPr>
                              <w:t>IMPLEMENTING TB DIAGNOSTICS: PRACTICAL CONSIDERATIONS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F0A6C" id="Text Box 1" o:spid="_x0000_s1027" type="#_x0000_t202" style="position:absolute;margin-left:139.6pt;margin-top:297.35pt;width:324pt;height:193.9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" filled="f" stroked="f">
                <v:textbox>
                  <w:txbxContent>
                    <w:p w14:paraId="5E0EAC16" w14:textId="4F665DD2" w:rsidR="00F53CFF" w:rsidRPr="002F4710" w:rsidRDefault="002F4710">
                      <w:pPr>
                        <w:rPr>
                          <w:rFonts w:ascii="Trebuchet MS" w:hAnsi="Trebuchet MS"/>
                          <w:b/>
                          <w:i/>
                          <w:sz w:val="52"/>
                          <w:szCs w:val="52"/>
                        </w:rPr>
                      </w:pPr>
                      <w:r w:rsidRPr="002F4710">
                        <w:rPr>
                          <w:rFonts w:ascii="Trebuchet MS" w:hAnsi="Trebuchet MS"/>
                          <w:b/>
                          <w:i/>
                          <w:sz w:val="52"/>
                          <w:szCs w:val="52"/>
                        </w:rPr>
                        <w:t>IMPLEMENTING TB DIAGNOSTICS: PRACTICAL CONSIDERATIONS</w:t>
                      </w:r>
                    </w:p>
                  </w:txbxContent>
                </v:textbox>
                <w10:wrap type="square" anchory="margin"/>
              </v:shape>
            </w:pict>
          </mc:Fallback>
        </mc:AlternateContent>
      </w:r>
      <w:r w:rsidR="00761FCA" w:rsidRPr="00B51117">
        <w:rPr>
          <w:noProof/>
        </w:rPr>
        <w:drawing>
          <wp:anchor distT="0" distB="0" distL="114300" distR="114300" simplePos="0" relativeHeight="251681792" behindDoc="0" locked="0" layoutInCell="1" allowOverlap="1" wp14:anchorId="04C3D88B" wp14:editId="4C6B55CA">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bookmarkStart w:id="0" w:name="_Toc464640555"/>
    <w:p w14:paraId="7B33219B" w14:textId="14306D12" w:rsidR="00FE0ECC" w:rsidRDefault="004476C2" w:rsidP="00DE20A5">
      <w:pPr>
        <w:pStyle w:val="Header1"/>
      </w:pPr>
      <w:r w:rsidRPr="00DE20A5">
        <w:lastRenderedPageBreak/>
        <mc:AlternateContent>
          <mc:Choice Requires="wps">
            <w:drawing>
              <wp:anchor distT="0" distB="0" distL="114300" distR="114300" simplePos="0" relativeHeight="251665408" behindDoc="0" locked="1" layoutInCell="1" allowOverlap="1" wp14:anchorId="7B7175AC" wp14:editId="4EF14A15">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024CA4C"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6A06E01C" w:rsidR="00DE20A5" w:rsidRPr="00DE20A5" w:rsidRDefault="002F4710" w:rsidP="00DE20A5">
            <w:pPr>
              <w:spacing w:before="120"/>
              <w:rPr>
                <w:rFonts w:ascii="Trebuchet MS" w:hAnsi="Trebuchet MS"/>
                <w:color w:val="7F7F7F" w:themeColor="text1" w:themeTint="80"/>
              </w:rPr>
            </w:pPr>
            <w:r w:rsidRPr="002F4710">
              <w:rPr>
                <w:rFonts w:ascii="Trebuchet MS" w:hAnsi="Trebuchet MS"/>
                <w:color w:val="7F7F7F" w:themeColor="text1" w:themeTint="80"/>
              </w:rPr>
              <w:t>To provide participants with practical considerations for introducing new TB diagnostics in their country. The module will also outline the key steps to be taken in the process of implementing new TB diagnostics</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1121579D" w:rsidR="00DE20A5" w:rsidRPr="00DE20A5" w:rsidRDefault="005C5CE9" w:rsidP="00385821">
            <w:pPr>
              <w:spacing w:before="120"/>
              <w:rPr>
                <w:rFonts w:ascii="Trebuchet MS" w:hAnsi="Trebuchet MS"/>
                <w:color w:val="7F7F7F" w:themeColor="text1" w:themeTint="80"/>
              </w:rPr>
            </w:pPr>
            <w:r>
              <w:rPr>
                <w:rFonts w:ascii="Trebuchet MS" w:hAnsi="Trebuchet MS"/>
                <w:color w:val="7F7F7F" w:themeColor="text1" w:themeTint="80"/>
              </w:rPr>
              <w:t>1</w:t>
            </w:r>
            <w:r w:rsidR="002F4710">
              <w:rPr>
                <w:rFonts w:ascii="Trebuchet MS" w:hAnsi="Trebuchet MS"/>
                <w:color w:val="7F7F7F" w:themeColor="text1" w:themeTint="80"/>
              </w:rPr>
              <w:t xml:space="preserve"> hours</w:t>
            </w:r>
            <w:r>
              <w:rPr>
                <w:rFonts w:ascii="Trebuchet MS" w:hAnsi="Trebuchet MS"/>
                <w:color w:val="7F7F7F" w:themeColor="text1" w:themeTint="80"/>
              </w:rPr>
              <w:t xml:space="preserve"> 4</w:t>
            </w:r>
            <w:r w:rsidR="00DC53E7">
              <w:rPr>
                <w:rFonts w:ascii="Trebuchet MS" w:hAnsi="Trebuchet MS"/>
                <w:color w:val="7F7F7F" w:themeColor="text1" w:themeTint="80"/>
              </w:rPr>
              <w:t>5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44E4906A" w:rsidR="00DE20A5" w:rsidRPr="00DE20A5" w:rsidRDefault="00DE20A5" w:rsidP="001D6AAD">
            <w:pPr>
              <w:spacing w:before="120"/>
              <w:rPr>
                <w:rFonts w:ascii="Trebuchet MS" w:hAnsi="Trebuchet MS"/>
                <w:color w:val="7F7F7F" w:themeColor="text1" w:themeTint="80"/>
              </w:rPr>
            </w:pPr>
            <w:r w:rsidRPr="00DE20A5">
              <w:rPr>
                <w:rFonts w:ascii="Trebuchet MS" w:hAnsi="Trebuchet MS"/>
                <w:b/>
                <w:color w:val="7F7F7F" w:themeColor="text1" w:themeTint="80"/>
              </w:rPr>
              <w:t xml:space="preserve">PowerPoint: </w:t>
            </w:r>
            <w:r w:rsidR="0039510A">
              <w:rPr>
                <w:rFonts w:ascii="Trebuchet MS" w:hAnsi="Trebuchet MS"/>
                <w:b/>
                <w:color w:val="7F7F7F" w:themeColor="text1" w:themeTint="80"/>
              </w:rPr>
              <w:t>Implementing TB diagnostics: Practical considerations</w:t>
            </w:r>
          </w:p>
        </w:tc>
        <w:tc>
          <w:tcPr>
            <w:tcW w:w="6230" w:type="dxa"/>
            <w:shd w:val="clear" w:color="auto" w:fill="DEF0E9" w:themeFill="accent3" w:themeFillTint="66"/>
          </w:tcPr>
          <w:p w14:paraId="4E06F33C" w14:textId="77777777" w:rsidR="002F4710" w:rsidRPr="002F4710" w:rsidRDefault="002F4710" w:rsidP="002F4710">
            <w:pPr>
              <w:spacing w:before="120"/>
              <w:rPr>
                <w:rFonts w:ascii="Trebuchet MS" w:hAnsi="Trebuchet MS"/>
                <w:color w:val="7F7F7F" w:themeColor="text1" w:themeTint="80"/>
              </w:rPr>
            </w:pPr>
            <w:r w:rsidRPr="002F4710">
              <w:rPr>
                <w:rFonts w:ascii="Trebuchet MS" w:hAnsi="Trebuchet MS"/>
                <w:color w:val="7F7F7F" w:themeColor="text1" w:themeTint="80"/>
              </w:rPr>
              <w:t>At the end of the module, participants should be able to list the key considerations for implementing new TB diagnostics and list the key steps to be taken when implementing new TB diagnostics.</w:t>
            </w:r>
          </w:p>
          <w:p w14:paraId="7BAE2AFF" w14:textId="77777777" w:rsidR="002F4710" w:rsidRPr="002F4710" w:rsidRDefault="002F4710" w:rsidP="002F4710">
            <w:pPr>
              <w:spacing w:before="120"/>
              <w:rPr>
                <w:rFonts w:ascii="Trebuchet MS" w:hAnsi="Trebuchet MS"/>
                <w:color w:val="7F7F7F" w:themeColor="text1" w:themeTint="80"/>
              </w:rPr>
            </w:pPr>
            <w:r w:rsidRPr="002F4710">
              <w:rPr>
                <w:rFonts w:ascii="Trebuchet MS" w:hAnsi="Trebuchet MS"/>
                <w:color w:val="7F7F7F" w:themeColor="text1" w:themeTint="80"/>
              </w:rPr>
              <w:t>Learning Objectives:</w:t>
            </w:r>
          </w:p>
          <w:p w14:paraId="63B46F8C" w14:textId="62682704" w:rsidR="002F4710" w:rsidRPr="002F4710" w:rsidRDefault="002F4710" w:rsidP="000529C2">
            <w:pPr>
              <w:pStyle w:val="ListParagraph"/>
              <w:numPr>
                <w:ilvl w:val="0"/>
                <w:numId w:val="4"/>
              </w:numPr>
              <w:rPr>
                <w:rFonts w:ascii="Trebuchet MS" w:hAnsi="Trebuchet MS"/>
              </w:rPr>
            </w:pPr>
            <w:r w:rsidRPr="002F4710">
              <w:rPr>
                <w:rFonts w:ascii="Trebuchet MS" w:hAnsi="Trebuchet MS"/>
              </w:rPr>
              <w:t>List the key considerations for implementing new TB diagnostics</w:t>
            </w:r>
          </w:p>
          <w:p w14:paraId="1C2831E4" w14:textId="50ADB4FF" w:rsidR="002F4710" w:rsidRPr="002F4710" w:rsidRDefault="002F4710" w:rsidP="000529C2">
            <w:pPr>
              <w:pStyle w:val="ListParagraph"/>
              <w:numPr>
                <w:ilvl w:val="0"/>
                <w:numId w:val="4"/>
              </w:numPr>
              <w:rPr>
                <w:rFonts w:ascii="Trebuchet MS" w:hAnsi="Trebuchet MS"/>
              </w:rPr>
            </w:pPr>
            <w:r w:rsidRPr="002F4710">
              <w:rPr>
                <w:rFonts w:ascii="Trebuchet MS" w:hAnsi="Trebuchet MS"/>
              </w:rPr>
              <w:t>List key steps to be taken when implementing new TB diagnostics</w:t>
            </w:r>
          </w:p>
          <w:p w14:paraId="4D0EBE1C" w14:textId="33056DBC" w:rsidR="002F4710" w:rsidRPr="002F4710" w:rsidRDefault="002F4710" w:rsidP="000529C2">
            <w:pPr>
              <w:pStyle w:val="ListParagraph"/>
              <w:numPr>
                <w:ilvl w:val="0"/>
                <w:numId w:val="4"/>
              </w:numPr>
              <w:rPr>
                <w:rFonts w:ascii="Trebuchet MS" w:hAnsi="Trebuchet MS"/>
              </w:rPr>
            </w:pPr>
            <w:r w:rsidRPr="002F4710">
              <w:rPr>
                <w:rFonts w:ascii="Trebuchet MS" w:hAnsi="Trebuchet MS"/>
              </w:rPr>
              <w:t>Explain why mapping is important when implementing new TB diagnostics</w:t>
            </w:r>
          </w:p>
          <w:p w14:paraId="49A0208C" w14:textId="724F89A1" w:rsidR="002F4710" w:rsidRPr="002F4710" w:rsidRDefault="002F4710" w:rsidP="000529C2">
            <w:pPr>
              <w:pStyle w:val="ListParagraph"/>
              <w:numPr>
                <w:ilvl w:val="0"/>
                <w:numId w:val="4"/>
              </w:numPr>
              <w:rPr>
                <w:rFonts w:ascii="Trebuchet MS" w:hAnsi="Trebuchet MS"/>
              </w:rPr>
            </w:pPr>
            <w:r w:rsidRPr="002F4710">
              <w:rPr>
                <w:rFonts w:ascii="Trebuchet MS" w:hAnsi="Trebuchet MS"/>
              </w:rPr>
              <w:t>Describe the role of the TWG in this process</w:t>
            </w:r>
          </w:p>
          <w:p w14:paraId="6FFEC60F" w14:textId="1F0D75AD" w:rsidR="00DE20A5" w:rsidRPr="00DE20A5" w:rsidRDefault="002F4710" w:rsidP="000529C2">
            <w:pPr>
              <w:pStyle w:val="Numbers"/>
              <w:numPr>
                <w:ilvl w:val="0"/>
                <w:numId w:val="4"/>
              </w:numPr>
            </w:pPr>
            <w:r w:rsidRPr="002F4710">
              <w:t>List indicators to monitor implementation</w:t>
            </w:r>
          </w:p>
        </w:tc>
        <w:tc>
          <w:tcPr>
            <w:tcW w:w="999" w:type="dxa"/>
            <w:shd w:val="clear" w:color="auto" w:fill="DEF0E9" w:themeFill="accent3" w:themeFillTint="66"/>
          </w:tcPr>
          <w:p w14:paraId="1C011899" w14:textId="15DEACA0" w:rsidR="00DE20A5" w:rsidRPr="000A608B" w:rsidRDefault="005C5CE9" w:rsidP="002F4710">
            <w:pPr>
              <w:spacing w:before="120"/>
              <w:rPr>
                <w:rFonts w:ascii="Trebuchet MS" w:hAnsi="Trebuchet MS"/>
                <w:color w:val="7F7F7F" w:themeColor="text1" w:themeTint="80"/>
                <w:sz w:val="24"/>
                <w:szCs w:val="24"/>
              </w:rPr>
            </w:pPr>
            <w:r>
              <w:rPr>
                <w:rFonts w:ascii="Trebuchet MS" w:hAnsi="Trebuchet MS"/>
                <w:color w:val="7F7F7F" w:themeColor="text1" w:themeTint="80"/>
              </w:rPr>
              <w:t>1</w:t>
            </w:r>
            <w:r w:rsidR="002F4710">
              <w:rPr>
                <w:rFonts w:ascii="Trebuchet MS" w:hAnsi="Trebuchet MS"/>
                <w:color w:val="7F7F7F" w:themeColor="text1" w:themeTint="80"/>
              </w:rPr>
              <w:t xml:space="preserve"> hour</w:t>
            </w:r>
            <w:r>
              <w:rPr>
                <w:rFonts w:ascii="Trebuchet MS" w:hAnsi="Trebuchet MS"/>
                <w:color w:val="7F7F7F" w:themeColor="text1" w:themeTint="80"/>
              </w:rPr>
              <w:t xml:space="preserve"> 30 minutes</w:t>
            </w:r>
          </w:p>
        </w:tc>
      </w:tr>
      <w:tr w:rsidR="00DE20A5" w:rsidRPr="000A608B" w14:paraId="3DCD1068" w14:textId="77777777" w:rsidTr="003F0BEA">
        <w:trPr>
          <w:cantSplit/>
          <w:trHeight w:val="444"/>
        </w:trPr>
        <w:tc>
          <w:tcPr>
            <w:tcW w:w="1970" w:type="dxa"/>
            <w:shd w:val="clear" w:color="auto" w:fill="F2F2F2"/>
          </w:tcPr>
          <w:p w14:paraId="78CA3475" w14:textId="4E70FC37" w:rsidR="00DE20A5" w:rsidRPr="00DE20A5" w:rsidRDefault="00947BDD" w:rsidP="002F4710">
            <w:pPr>
              <w:spacing w:before="120"/>
              <w:rPr>
                <w:rFonts w:ascii="Trebuchet MS" w:hAnsi="Trebuchet MS"/>
                <w:color w:val="7F7F7F" w:themeColor="text1" w:themeTint="80"/>
              </w:rPr>
            </w:pPr>
            <w:r w:rsidRPr="00947BDD">
              <w:rPr>
                <w:rFonts w:ascii="Trebuchet MS" w:hAnsi="Trebuchet MS"/>
                <w:b/>
                <w:color w:val="7F7F7F" w:themeColor="text1" w:themeTint="80"/>
              </w:rPr>
              <w:t xml:space="preserve">Exercise 1: </w:t>
            </w:r>
          </w:p>
        </w:tc>
        <w:tc>
          <w:tcPr>
            <w:tcW w:w="6230" w:type="dxa"/>
            <w:shd w:val="clear" w:color="auto" w:fill="F2F2F2"/>
            <w:vAlign w:val="center"/>
          </w:tcPr>
          <w:p w14:paraId="45C0474C" w14:textId="4034C67C" w:rsidR="00DE20A5" w:rsidRPr="00947BDD" w:rsidRDefault="002F4710" w:rsidP="003F0BEA">
            <w:pPr>
              <w:rPr>
                <w:rFonts w:ascii="Trebuchet MS" w:hAnsi="Trebuchet MS"/>
                <w:bCs/>
                <w:color w:val="7F7F7F" w:themeColor="text1" w:themeTint="80"/>
              </w:rPr>
            </w:pPr>
            <w:r w:rsidRPr="002F4710">
              <w:rPr>
                <w:rFonts w:ascii="Trebuchet MS" w:hAnsi="Trebuchet MS"/>
                <w:bCs/>
                <w:color w:val="7F7F7F" w:themeColor="text1" w:themeTint="80"/>
              </w:rPr>
              <w:t>There is no exercise in this module</w:t>
            </w:r>
          </w:p>
        </w:tc>
        <w:tc>
          <w:tcPr>
            <w:tcW w:w="999" w:type="dxa"/>
            <w:shd w:val="clear" w:color="auto" w:fill="F2F2F2"/>
          </w:tcPr>
          <w:p w14:paraId="7C7C0B5E" w14:textId="6CD99873" w:rsidR="00DE20A5" w:rsidRPr="000A608B" w:rsidRDefault="002F4710" w:rsidP="00DE20A5">
            <w:pPr>
              <w:spacing w:before="120"/>
              <w:rPr>
                <w:rFonts w:ascii="Trebuchet MS" w:hAnsi="Trebuchet MS"/>
                <w:color w:val="7F7F7F" w:themeColor="text1" w:themeTint="80"/>
              </w:rPr>
            </w:pPr>
            <w:r>
              <w:rPr>
                <w:rFonts w:ascii="Trebuchet MS" w:hAnsi="Trebuchet MS"/>
                <w:color w:val="7F7F7F" w:themeColor="text1" w:themeTint="80"/>
              </w:rPr>
              <w:t>0 minutes</w:t>
            </w:r>
          </w:p>
        </w:tc>
      </w:tr>
      <w:tr w:rsidR="00DC53E7" w:rsidRPr="000A608B" w14:paraId="5412BAA9" w14:textId="77777777" w:rsidTr="00DC53E7">
        <w:trPr>
          <w:cantSplit/>
          <w:trHeight w:val="444"/>
        </w:trPr>
        <w:tc>
          <w:tcPr>
            <w:tcW w:w="1970" w:type="dxa"/>
            <w:shd w:val="clear" w:color="auto" w:fill="DEF0E9" w:themeFill="accent3" w:themeFillTint="66"/>
          </w:tcPr>
          <w:p w14:paraId="11BA8572" w14:textId="7DD63B2C" w:rsidR="00DC53E7" w:rsidRPr="00947BDD" w:rsidRDefault="00DC53E7" w:rsidP="002F4710">
            <w:pPr>
              <w:spacing w:before="120"/>
              <w:rPr>
                <w:rFonts w:ascii="Trebuchet MS" w:hAnsi="Trebuchet MS"/>
                <w:b/>
                <w:color w:val="7F7F7F" w:themeColor="text1" w:themeTint="80"/>
              </w:rPr>
            </w:pPr>
            <w:r>
              <w:rPr>
                <w:rFonts w:ascii="Trebuchet MS" w:hAnsi="Trebuchet MS"/>
                <w:b/>
                <w:color w:val="7F7F7F" w:themeColor="text1" w:themeTint="80"/>
              </w:rPr>
              <w:t>Discussion Questions</w:t>
            </w:r>
          </w:p>
        </w:tc>
        <w:tc>
          <w:tcPr>
            <w:tcW w:w="6230" w:type="dxa"/>
            <w:shd w:val="clear" w:color="auto" w:fill="DEF0E9" w:themeFill="accent3" w:themeFillTint="66"/>
          </w:tcPr>
          <w:p w14:paraId="4BC152B7" w14:textId="6A2C8B65" w:rsidR="000529C2" w:rsidRPr="000529C2" w:rsidRDefault="000529C2" w:rsidP="000529C2">
            <w:pPr>
              <w:pStyle w:val="ListParagraph"/>
              <w:numPr>
                <w:ilvl w:val="0"/>
                <w:numId w:val="11"/>
              </w:numPr>
              <w:rPr>
                <w:rFonts w:ascii="Trebuchet MS" w:hAnsi="Trebuchet MS"/>
              </w:rPr>
            </w:pPr>
            <w:r w:rsidRPr="000529C2">
              <w:rPr>
                <w:rFonts w:ascii="Trebuchet MS" w:hAnsi="Trebuchet MS"/>
              </w:rPr>
              <w:t>List five key considerations when implementing a new TB diagnostic test?</w:t>
            </w:r>
          </w:p>
          <w:p w14:paraId="528F1590" w14:textId="49EC8379" w:rsidR="000529C2" w:rsidRPr="000529C2" w:rsidRDefault="000529C2" w:rsidP="000529C2">
            <w:pPr>
              <w:pStyle w:val="ListParagraph"/>
              <w:numPr>
                <w:ilvl w:val="0"/>
                <w:numId w:val="11"/>
              </w:numPr>
              <w:rPr>
                <w:rFonts w:ascii="Trebuchet MS" w:hAnsi="Trebuchet MS"/>
              </w:rPr>
            </w:pPr>
            <w:r w:rsidRPr="000529C2">
              <w:rPr>
                <w:rFonts w:ascii="Trebuchet MS" w:hAnsi="Trebuchet MS"/>
              </w:rPr>
              <w:t>Why is mapping the diagnostic network important?</w:t>
            </w:r>
          </w:p>
          <w:p w14:paraId="563B2268" w14:textId="117C945F" w:rsidR="000529C2" w:rsidRPr="000529C2" w:rsidRDefault="000529C2" w:rsidP="000529C2">
            <w:pPr>
              <w:pStyle w:val="ListParagraph"/>
              <w:numPr>
                <w:ilvl w:val="0"/>
                <w:numId w:val="11"/>
              </w:numPr>
              <w:rPr>
                <w:rFonts w:ascii="Trebuchet MS" w:hAnsi="Trebuchet MS"/>
              </w:rPr>
            </w:pPr>
            <w:r w:rsidRPr="000529C2">
              <w:rPr>
                <w:rFonts w:ascii="Trebuchet MS" w:hAnsi="Trebuchet MS"/>
              </w:rPr>
              <w:t>What are the roles of the TWG when implementing a new TB diagnostic test?</w:t>
            </w:r>
          </w:p>
          <w:p w14:paraId="3B9E27C1" w14:textId="79A9AD75" w:rsidR="00DC53E7" w:rsidRPr="002F4710" w:rsidRDefault="000529C2" w:rsidP="000529C2">
            <w:pPr>
              <w:pStyle w:val="ListParagraph"/>
              <w:numPr>
                <w:ilvl w:val="0"/>
                <w:numId w:val="11"/>
              </w:numPr>
              <w:rPr>
                <w:rFonts w:ascii="Trebuchet MS" w:hAnsi="Trebuchet MS"/>
                <w:bCs/>
              </w:rPr>
            </w:pPr>
            <w:r w:rsidRPr="000529C2">
              <w:rPr>
                <w:rFonts w:ascii="Trebuchet MS" w:hAnsi="Trebuchet MS"/>
              </w:rPr>
              <w:t xml:space="preserve">List three types of indicators that should </w:t>
            </w:r>
            <w:r w:rsidR="001F0BF6">
              <w:rPr>
                <w:rFonts w:ascii="Trebuchet MS" w:hAnsi="Trebuchet MS"/>
              </w:rPr>
              <w:t xml:space="preserve">be </w:t>
            </w:r>
            <w:bookmarkStart w:id="1" w:name="_GoBack"/>
            <w:bookmarkEnd w:id="1"/>
            <w:r w:rsidRPr="000529C2">
              <w:rPr>
                <w:rFonts w:ascii="Trebuchet MS" w:hAnsi="Trebuchet MS"/>
              </w:rPr>
              <w:t>monitored when implementing a new TB diagnostic test, and give an example of each?</w:t>
            </w:r>
            <w:r w:rsidRPr="000529C2">
              <w:rPr>
                <w:rFonts w:ascii="Trebuchet MS" w:hAnsi="Trebuchet MS"/>
                <w:bCs/>
              </w:rPr>
              <w:t xml:space="preserve">   </w:t>
            </w:r>
          </w:p>
        </w:tc>
        <w:tc>
          <w:tcPr>
            <w:tcW w:w="999" w:type="dxa"/>
            <w:shd w:val="clear" w:color="auto" w:fill="DEF0E9" w:themeFill="accent3" w:themeFillTint="66"/>
          </w:tcPr>
          <w:p w14:paraId="3D67D993" w14:textId="1EA8EFA9" w:rsidR="00DC53E7" w:rsidRDefault="00DC53E7" w:rsidP="00DE20A5">
            <w:pPr>
              <w:spacing w:before="120"/>
              <w:rPr>
                <w:rFonts w:ascii="Trebuchet MS" w:hAnsi="Trebuchet MS"/>
                <w:color w:val="7F7F7F" w:themeColor="text1" w:themeTint="80"/>
              </w:rPr>
            </w:pPr>
            <w:r>
              <w:rPr>
                <w:rFonts w:ascii="Trebuchet MS" w:hAnsi="Trebuchet MS"/>
                <w:color w:val="7F7F7F" w:themeColor="text1" w:themeTint="80"/>
              </w:rPr>
              <w:t>15 minutes</w:t>
            </w:r>
          </w:p>
        </w:tc>
      </w:tr>
      <w:tr w:rsidR="00DC53E7" w:rsidRPr="000A608B" w14:paraId="3BDFF0BD" w14:textId="77777777" w:rsidTr="00944C5C">
        <w:trPr>
          <w:cantSplit/>
          <w:trHeight w:val="444"/>
        </w:trPr>
        <w:tc>
          <w:tcPr>
            <w:tcW w:w="1970" w:type="dxa"/>
            <w:shd w:val="clear" w:color="auto" w:fill="F2F2F2"/>
          </w:tcPr>
          <w:p w14:paraId="08BFAC17" w14:textId="27F036FB" w:rsidR="00DC53E7" w:rsidRPr="00947BDD" w:rsidRDefault="00DC53E7" w:rsidP="002F4710">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Additional resources or references:</w:t>
            </w:r>
          </w:p>
        </w:tc>
        <w:tc>
          <w:tcPr>
            <w:tcW w:w="6230" w:type="dxa"/>
            <w:shd w:val="clear" w:color="auto" w:fill="F2F2F2"/>
          </w:tcPr>
          <w:p w14:paraId="3C39A009" w14:textId="3BBE39CB" w:rsidR="00DC53E7" w:rsidRPr="002F4710" w:rsidRDefault="00DC53E7" w:rsidP="00947BDD">
            <w:pPr>
              <w:rPr>
                <w:rFonts w:ascii="Trebuchet MS" w:hAnsi="Trebuchet MS"/>
                <w:bCs/>
                <w:color w:val="7F7F7F" w:themeColor="text1" w:themeTint="80"/>
              </w:rPr>
            </w:pPr>
            <w:r w:rsidRPr="00C52FB4">
              <w:rPr>
                <w:rFonts w:ascii="Trebuchet MS" w:hAnsi="Trebuchet MS"/>
                <w:color w:val="7F7F7F" w:themeColor="text1" w:themeTint="80"/>
              </w:rPr>
              <w:t xml:space="preserve">WHO. Framework of indicators and targets for laboratory strengthening under the END TB Strategy. 2016. Available at </w:t>
            </w:r>
            <w:hyperlink r:id="rId9" w:history="1">
              <w:r w:rsidRPr="003F0BEA">
                <w:rPr>
                  <w:rStyle w:val="Hyperlink"/>
                  <w:rFonts w:ascii="Calibri Light" w:hAnsi="Calibri Light"/>
                  <w:sz w:val="22"/>
                </w:rPr>
                <w:t>http://www.who.int/tb/ publications/labindicators</w:t>
              </w:r>
            </w:hyperlink>
          </w:p>
        </w:tc>
        <w:tc>
          <w:tcPr>
            <w:tcW w:w="999" w:type="dxa"/>
            <w:shd w:val="clear" w:color="auto" w:fill="F2F2F2"/>
          </w:tcPr>
          <w:p w14:paraId="09BD3D29" w14:textId="77777777" w:rsidR="00DC53E7" w:rsidRDefault="00DC53E7" w:rsidP="00DE20A5">
            <w:pPr>
              <w:spacing w:before="120"/>
              <w:rPr>
                <w:rFonts w:ascii="Trebuchet MS" w:hAnsi="Trebuchet MS"/>
                <w:color w:val="7F7F7F" w:themeColor="text1" w:themeTint="80"/>
              </w:rPr>
            </w:pPr>
          </w:p>
        </w:tc>
      </w:tr>
    </w:tbl>
    <w:p w14:paraId="07870F91" w14:textId="0B738F23" w:rsidR="0042298E" w:rsidRPr="000E6E80" w:rsidRDefault="0042298E" w:rsidP="0042298E">
      <w:pPr>
        <w:pStyle w:val="GLISubHeader"/>
      </w:pPr>
      <w:r w:rsidRPr="000E6E80">
        <w:t>Module notes</w:t>
      </w:r>
    </w:p>
    <w:p w14:paraId="64C61E3D" w14:textId="42810115" w:rsidR="002F4710" w:rsidRDefault="003F0BEA" w:rsidP="002F4710">
      <w:pPr>
        <w:pStyle w:val="Content"/>
      </w:pPr>
      <w:r>
        <w:rPr>
          <w:b/>
        </w:rPr>
        <w:t xml:space="preserve">Slide </w:t>
      </w:r>
      <w:r w:rsidR="002F4710" w:rsidRPr="002F4710">
        <w:rPr>
          <w:b/>
        </w:rPr>
        <w:t>4</w:t>
      </w:r>
      <w:r w:rsidR="002F4710">
        <w:t xml:space="preserve"> Introduce the participants to the practical considerations for introducing new TB diagnostics in their country. The ten considerations are discussed in detail in the subsequent slides. Emphasize that collaboration &amp; coordination activities are required when establishing all the components required to introduce a new TB diagnostic</w:t>
      </w:r>
    </w:p>
    <w:p w14:paraId="1F830126" w14:textId="6A9B579C" w:rsidR="002F4710" w:rsidRDefault="00504593" w:rsidP="002F4710">
      <w:pPr>
        <w:pStyle w:val="Content"/>
      </w:pPr>
      <w:r>
        <w:rPr>
          <w:b/>
        </w:rPr>
        <w:t>Slide 22</w:t>
      </w:r>
      <w:r w:rsidR="002F4710" w:rsidRPr="002F4710">
        <w:rPr>
          <w:b/>
        </w:rPr>
        <w:t>-2</w:t>
      </w:r>
      <w:r>
        <w:rPr>
          <w:b/>
        </w:rPr>
        <w:t>8</w:t>
      </w:r>
      <w:r w:rsidR="002F4710">
        <w:t xml:space="preserve"> Describes the key steps to be taken in the process of implementing new TB diagnostics. The steps are considered in three phases: planning, implementing &amp; monitoring</w:t>
      </w:r>
    </w:p>
    <w:p w14:paraId="0CCE8966" w14:textId="77777777" w:rsidR="008B0975" w:rsidRDefault="008B0975" w:rsidP="004D3E4B">
      <w:pPr>
        <w:pStyle w:val="Header1"/>
        <w:sectPr w:rsidR="008B0975" w:rsidSect="00DD5AA9">
          <w:headerReference w:type="default" r:id="rId10"/>
          <w:footerReference w:type="default" r:id="rId11"/>
          <w:pgSz w:w="11900" w:h="16840" w:code="9"/>
          <w:pgMar w:top="1440" w:right="1440" w:bottom="1191" w:left="1440" w:header="397" w:footer="397" w:gutter="0"/>
          <w:pgNumType w:start="1"/>
          <w:cols w:space="708"/>
          <w:titlePg/>
          <w:docGrid w:linePitch="360"/>
        </w:sectPr>
      </w:pPr>
    </w:p>
    <w:p w14:paraId="2E924756" w14:textId="11AFEAEA" w:rsidR="00DA3E9B" w:rsidRDefault="008B0975" w:rsidP="00DA3E9B">
      <w:pPr>
        <w:pStyle w:val="Header1"/>
      </w:pPr>
      <w:r w:rsidRPr="00DE20A5">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098BF2C"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" fillcolor="#dc1f26" stroked="f" strokeweight="1pt">
                <w10:wrap type="through"/>
              </v:rect>
            </w:pict>
          </mc:Fallback>
        </mc:AlternateContent>
      </w:r>
      <w:r>
        <w:t>MODULE ANSWERS</w:t>
      </w:r>
    </w:p>
    <w:p w14:paraId="24D3C0DE" w14:textId="77777777" w:rsidR="00DA3E9B" w:rsidRDefault="00DA3E9B" w:rsidP="00DA3E9B">
      <w:pPr>
        <w:pStyle w:val="Header1"/>
      </w:pPr>
    </w:p>
    <w:p w14:paraId="61BC1C5B" w14:textId="2344869B" w:rsidR="002F4710" w:rsidRDefault="00E93C84" w:rsidP="000529C2">
      <w:pPr>
        <w:pStyle w:val="ListParagraph"/>
        <w:numPr>
          <w:ilvl w:val="0"/>
          <w:numId w:val="3"/>
        </w:numPr>
        <w:spacing w:before="200" w:after="200" w:line="276" w:lineRule="auto"/>
        <w:rPr>
          <w:b/>
        </w:rPr>
      </w:pPr>
      <w:r>
        <w:rPr>
          <w:b/>
        </w:rPr>
        <w:t>List five</w:t>
      </w:r>
      <w:r w:rsidR="002F4710" w:rsidRPr="00622F53">
        <w:rPr>
          <w:b/>
        </w:rPr>
        <w:t xml:space="preserve"> key considerations when implementing a new TB diagnostic test</w:t>
      </w:r>
      <w:r>
        <w:rPr>
          <w:b/>
        </w:rPr>
        <w:t>?</w:t>
      </w:r>
    </w:p>
    <w:p w14:paraId="16ECA30E" w14:textId="75436215" w:rsidR="00E93C84" w:rsidRPr="00E93C84" w:rsidRDefault="00E93C84" w:rsidP="00E93C84">
      <w:pPr>
        <w:pStyle w:val="Content"/>
        <w:ind w:firstLine="720"/>
        <w:rPr>
          <w:lang w:val="en-US"/>
        </w:rPr>
      </w:pPr>
      <w:r>
        <w:rPr>
          <w:lang w:val="en-US"/>
        </w:rPr>
        <w:t>Any five of the following:</w:t>
      </w:r>
    </w:p>
    <w:p w14:paraId="0898A89A" w14:textId="77777777" w:rsidR="002F4710" w:rsidRDefault="002F4710" w:rsidP="000529C2">
      <w:pPr>
        <w:pStyle w:val="ListParagraph"/>
        <w:numPr>
          <w:ilvl w:val="1"/>
          <w:numId w:val="5"/>
        </w:numPr>
        <w:spacing w:before="200" w:after="200" w:line="276" w:lineRule="auto"/>
      </w:pPr>
      <w:r>
        <w:t>National policy review and revision</w:t>
      </w:r>
    </w:p>
    <w:p w14:paraId="6388D1BE" w14:textId="77777777" w:rsidR="002F4710" w:rsidRDefault="002F4710" w:rsidP="000529C2">
      <w:pPr>
        <w:pStyle w:val="ListParagraph"/>
        <w:numPr>
          <w:ilvl w:val="1"/>
          <w:numId w:val="5"/>
        </w:numPr>
        <w:spacing w:before="200" w:after="200" w:line="276" w:lineRule="auto"/>
      </w:pPr>
      <w:r>
        <w:t>Diagnostic network</w:t>
      </w:r>
    </w:p>
    <w:p w14:paraId="12E34FE6" w14:textId="77777777" w:rsidR="002F4710" w:rsidRDefault="002F4710" w:rsidP="000529C2">
      <w:pPr>
        <w:pStyle w:val="ListParagraph"/>
        <w:numPr>
          <w:ilvl w:val="1"/>
          <w:numId w:val="5"/>
        </w:numPr>
        <w:spacing w:before="200" w:after="200" w:line="276" w:lineRule="auto"/>
      </w:pPr>
      <w:r>
        <w:t>Infrastructure</w:t>
      </w:r>
    </w:p>
    <w:p w14:paraId="357CF748" w14:textId="77777777" w:rsidR="002F4710" w:rsidRDefault="002F4710" w:rsidP="000529C2">
      <w:pPr>
        <w:pStyle w:val="ListParagraph"/>
        <w:numPr>
          <w:ilvl w:val="1"/>
          <w:numId w:val="5"/>
        </w:numPr>
        <w:spacing w:before="200" w:after="200" w:line="276" w:lineRule="auto"/>
      </w:pPr>
      <w:r>
        <w:t>Personnel</w:t>
      </w:r>
    </w:p>
    <w:p w14:paraId="16275F00" w14:textId="77777777" w:rsidR="002F4710" w:rsidRDefault="002F4710" w:rsidP="000529C2">
      <w:pPr>
        <w:pStyle w:val="ListParagraph"/>
        <w:numPr>
          <w:ilvl w:val="1"/>
          <w:numId w:val="5"/>
        </w:numPr>
        <w:spacing w:before="200" w:after="200" w:line="276" w:lineRule="auto"/>
      </w:pPr>
      <w:r>
        <w:t>Treatment capacity</w:t>
      </w:r>
    </w:p>
    <w:p w14:paraId="7F742E4E" w14:textId="77777777" w:rsidR="002F4710" w:rsidRDefault="002F4710" w:rsidP="000529C2">
      <w:pPr>
        <w:pStyle w:val="ListParagraph"/>
        <w:numPr>
          <w:ilvl w:val="1"/>
          <w:numId w:val="5"/>
        </w:numPr>
        <w:spacing w:before="200" w:after="200" w:line="276" w:lineRule="auto"/>
      </w:pPr>
      <w:r>
        <w:t>Quality assurance</w:t>
      </w:r>
    </w:p>
    <w:p w14:paraId="27216617" w14:textId="77777777" w:rsidR="002F4710" w:rsidRDefault="002F4710" w:rsidP="000529C2">
      <w:pPr>
        <w:pStyle w:val="ListParagraph"/>
        <w:numPr>
          <w:ilvl w:val="1"/>
          <w:numId w:val="5"/>
        </w:numPr>
        <w:spacing w:before="200" w:after="200" w:line="276" w:lineRule="auto"/>
      </w:pPr>
      <w:r>
        <w:t>Procurement</w:t>
      </w:r>
    </w:p>
    <w:p w14:paraId="47564EA8" w14:textId="77777777" w:rsidR="002F4710" w:rsidRDefault="002F4710" w:rsidP="000529C2">
      <w:pPr>
        <w:pStyle w:val="ListParagraph"/>
        <w:numPr>
          <w:ilvl w:val="1"/>
          <w:numId w:val="5"/>
        </w:numPr>
        <w:spacing w:before="200" w:after="200" w:line="276" w:lineRule="auto"/>
      </w:pPr>
      <w:r>
        <w:t>Monitoring implementation</w:t>
      </w:r>
    </w:p>
    <w:p w14:paraId="551455C0" w14:textId="77777777" w:rsidR="002F4710" w:rsidRDefault="002F4710" w:rsidP="000529C2">
      <w:pPr>
        <w:pStyle w:val="ListParagraph"/>
        <w:numPr>
          <w:ilvl w:val="1"/>
          <w:numId w:val="5"/>
        </w:numPr>
        <w:spacing w:before="200" w:after="200" w:line="276" w:lineRule="auto"/>
      </w:pPr>
      <w:r>
        <w:t>Connectivity</w:t>
      </w:r>
    </w:p>
    <w:p w14:paraId="082A94F9" w14:textId="77777777" w:rsidR="002F4710" w:rsidRDefault="002F4710" w:rsidP="000529C2">
      <w:pPr>
        <w:pStyle w:val="ListParagraph"/>
        <w:numPr>
          <w:ilvl w:val="1"/>
          <w:numId w:val="5"/>
        </w:numPr>
        <w:spacing w:before="200" w:after="200" w:line="276" w:lineRule="auto"/>
      </w:pPr>
      <w:r>
        <w:t>Financing</w:t>
      </w:r>
    </w:p>
    <w:p w14:paraId="64A1CF59" w14:textId="77777777" w:rsidR="002F4710" w:rsidRDefault="002F4710" w:rsidP="000529C2">
      <w:pPr>
        <w:pStyle w:val="ListParagraph"/>
        <w:numPr>
          <w:ilvl w:val="1"/>
          <w:numId w:val="5"/>
        </w:numPr>
        <w:spacing w:before="200" w:after="200" w:line="276" w:lineRule="auto"/>
      </w:pPr>
      <w:r>
        <w:t>Collaboration and coordination</w:t>
      </w:r>
    </w:p>
    <w:p w14:paraId="4FB62C39" w14:textId="77777777" w:rsidR="002F4710" w:rsidRPr="002F4710" w:rsidRDefault="002F4710" w:rsidP="002F4710">
      <w:pPr>
        <w:pStyle w:val="Content"/>
        <w:rPr>
          <w:lang w:val="en-US"/>
        </w:rPr>
      </w:pPr>
    </w:p>
    <w:p w14:paraId="2E9C80B2" w14:textId="5227FA48" w:rsidR="002F4710" w:rsidRPr="00622F53" w:rsidRDefault="002F4710" w:rsidP="000529C2">
      <w:pPr>
        <w:pStyle w:val="ListParagraph"/>
        <w:numPr>
          <w:ilvl w:val="0"/>
          <w:numId w:val="3"/>
        </w:numPr>
        <w:spacing w:before="200" w:after="200" w:line="276" w:lineRule="auto"/>
        <w:rPr>
          <w:b/>
        </w:rPr>
      </w:pPr>
      <w:r w:rsidRPr="00622F53">
        <w:rPr>
          <w:b/>
        </w:rPr>
        <w:t xml:space="preserve"> </w:t>
      </w:r>
      <w:r w:rsidR="00E93C84">
        <w:rPr>
          <w:b/>
        </w:rPr>
        <w:t>Why is m</w:t>
      </w:r>
      <w:r w:rsidRPr="00622F53">
        <w:rPr>
          <w:b/>
        </w:rPr>
        <w:t>apping the diagnostic network important</w:t>
      </w:r>
      <w:r w:rsidR="00E93C84">
        <w:rPr>
          <w:b/>
        </w:rPr>
        <w:t>?</w:t>
      </w:r>
    </w:p>
    <w:p w14:paraId="4501EDB4" w14:textId="77777777" w:rsidR="002F4710" w:rsidRDefault="002F4710" w:rsidP="000529C2">
      <w:pPr>
        <w:pStyle w:val="ListParagraph"/>
        <w:numPr>
          <w:ilvl w:val="1"/>
          <w:numId w:val="6"/>
        </w:numPr>
        <w:spacing w:before="200" w:after="200" w:line="276" w:lineRule="auto"/>
      </w:pPr>
      <w:r>
        <w:t>Determine optimal placement of TB diagnostics to improve access and impact</w:t>
      </w:r>
    </w:p>
    <w:p w14:paraId="7608DF57" w14:textId="77777777" w:rsidR="002F4710" w:rsidRDefault="002F4710" w:rsidP="000529C2">
      <w:pPr>
        <w:pStyle w:val="ListParagraph"/>
        <w:numPr>
          <w:ilvl w:val="1"/>
          <w:numId w:val="6"/>
        </w:numPr>
        <w:spacing w:before="200" w:after="200" w:line="276" w:lineRule="auto"/>
      </w:pPr>
      <w:r>
        <w:t xml:space="preserve">Determine the best national testing algorithm for your country </w:t>
      </w:r>
    </w:p>
    <w:p w14:paraId="4D6CFB59" w14:textId="77777777" w:rsidR="002F4710" w:rsidRDefault="002F4710" w:rsidP="000529C2">
      <w:pPr>
        <w:pStyle w:val="ListParagraph"/>
        <w:numPr>
          <w:ilvl w:val="1"/>
          <w:numId w:val="6"/>
        </w:numPr>
        <w:spacing w:before="200" w:after="200" w:line="276" w:lineRule="auto"/>
      </w:pPr>
      <w:r>
        <w:t xml:space="preserve">Understand your current referral network </w:t>
      </w:r>
    </w:p>
    <w:p w14:paraId="68F37127" w14:textId="77777777" w:rsidR="002F4710" w:rsidRDefault="002F4710" w:rsidP="000529C2">
      <w:pPr>
        <w:pStyle w:val="ListParagraph"/>
        <w:numPr>
          <w:ilvl w:val="1"/>
          <w:numId w:val="6"/>
        </w:numPr>
        <w:spacing w:before="200" w:after="200" w:line="276" w:lineRule="auto"/>
      </w:pPr>
      <w:r>
        <w:t xml:space="preserve">Design a functional referral network </w:t>
      </w:r>
    </w:p>
    <w:p w14:paraId="5E48CD9E" w14:textId="77777777" w:rsidR="002F4710" w:rsidRDefault="002F4710" w:rsidP="000529C2">
      <w:pPr>
        <w:pStyle w:val="ListParagraph"/>
        <w:numPr>
          <w:ilvl w:val="1"/>
          <w:numId w:val="6"/>
        </w:numPr>
        <w:spacing w:before="200" w:after="200" w:line="276" w:lineRule="auto"/>
      </w:pPr>
      <w:r>
        <w:t>Crucial for logistics planning and optimization to gain cost efficiencies</w:t>
      </w:r>
    </w:p>
    <w:p w14:paraId="2A05082E" w14:textId="77777777" w:rsidR="002F4710" w:rsidRDefault="002F4710" w:rsidP="000529C2">
      <w:pPr>
        <w:pStyle w:val="ListParagraph"/>
        <w:numPr>
          <w:ilvl w:val="1"/>
          <w:numId w:val="6"/>
        </w:numPr>
        <w:spacing w:before="200" w:after="200" w:line="276" w:lineRule="auto"/>
      </w:pPr>
      <w:r>
        <w:t>Scenario-planning to understand costs/inputs without spending the associated time/money</w:t>
      </w:r>
    </w:p>
    <w:p w14:paraId="1E17A820" w14:textId="77777777" w:rsidR="002F4710" w:rsidRDefault="002F4710" w:rsidP="000529C2">
      <w:pPr>
        <w:pStyle w:val="ListParagraph"/>
        <w:numPr>
          <w:ilvl w:val="1"/>
          <w:numId w:val="6"/>
        </w:numPr>
        <w:spacing w:before="200" w:after="200" w:line="276" w:lineRule="auto"/>
      </w:pPr>
      <w:r>
        <w:t>Plan for integration of different vertical disease programs</w:t>
      </w:r>
    </w:p>
    <w:p w14:paraId="1ACB686B" w14:textId="77777777" w:rsidR="002F4710" w:rsidRPr="002F4710" w:rsidRDefault="002F4710" w:rsidP="002F4710">
      <w:pPr>
        <w:pStyle w:val="Content"/>
        <w:rPr>
          <w:lang w:val="en-US"/>
        </w:rPr>
      </w:pPr>
    </w:p>
    <w:p w14:paraId="0C999E2F" w14:textId="7A6D029C" w:rsidR="002F4710" w:rsidRPr="00622F53" w:rsidRDefault="00E93C84" w:rsidP="000529C2">
      <w:pPr>
        <w:pStyle w:val="ListParagraph"/>
        <w:numPr>
          <w:ilvl w:val="0"/>
          <w:numId w:val="3"/>
        </w:numPr>
        <w:spacing w:before="200" w:after="200" w:line="276" w:lineRule="auto"/>
        <w:rPr>
          <w:b/>
        </w:rPr>
      </w:pPr>
      <w:r>
        <w:rPr>
          <w:b/>
        </w:rPr>
        <w:t xml:space="preserve">What are the </w:t>
      </w:r>
      <w:r w:rsidR="002F4710" w:rsidRPr="00622F53">
        <w:rPr>
          <w:b/>
        </w:rPr>
        <w:t>roles of the TWG when implementi</w:t>
      </w:r>
      <w:r>
        <w:rPr>
          <w:b/>
        </w:rPr>
        <w:t>ng a new TB diagnostic test?</w:t>
      </w:r>
    </w:p>
    <w:p w14:paraId="7C561A48" w14:textId="77777777" w:rsidR="002F4710" w:rsidRDefault="002F4710" w:rsidP="000529C2">
      <w:pPr>
        <w:pStyle w:val="ListParagraph"/>
        <w:numPr>
          <w:ilvl w:val="1"/>
          <w:numId w:val="7"/>
        </w:numPr>
        <w:spacing w:before="200" w:after="200" w:line="276" w:lineRule="auto"/>
      </w:pPr>
      <w:r>
        <w:t>TWG can provide recommendations on potential role of new tests and placement within network, as well as possible algorithms</w:t>
      </w:r>
    </w:p>
    <w:p w14:paraId="0E3B389E" w14:textId="77777777" w:rsidR="002F4710" w:rsidRDefault="002F4710" w:rsidP="000529C2">
      <w:pPr>
        <w:pStyle w:val="ListParagraph"/>
        <w:numPr>
          <w:ilvl w:val="1"/>
          <w:numId w:val="7"/>
        </w:numPr>
        <w:spacing w:before="200" w:after="200" w:line="276" w:lineRule="auto"/>
      </w:pPr>
      <w:r>
        <w:t>TWG is able to determine need for country evaluation data prior to uptake of new technologies</w:t>
      </w:r>
    </w:p>
    <w:p w14:paraId="08717EF5" w14:textId="77777777" w:rsidR="002F4710" w:rsidRPr="002F4710" w:rsidRDefault="002F4710" w:rsidP="002F4710">
      <w:pPr>
        <w:pStyle w:val="Content"/>
        <w:rPr>
          <w:lang w:val="en-US"/>
        </w:rPr>
      </w:pPr>
    </w:p>
    <w:p w14:paraId="10F7ADA3" w14:textId="3F9806B5" w:rsidR="002F4710" w:rsidRPr="00622F53" w:rsidRDefault="00E93C84" w:rsidP="000529C2">
      <w:pPr>
        <w:pStyle w:val="ListParagraph"/>
        <w:numPr>
          <w:ilvl w:val="0"/>
          <w:numId w:val="3"/>
        </w:numPr>
        <w:spacing w:before="200" w:after="200" w:line="276" w:lineRule="auto"/>
        <w:rPr>
          <w:b/>
        </w:rPr>
      </w:pPr>
      <w:r>
        <w:rPr>
          <w:b/>
        </w:rPr>
        <w:t>List t</w:t>
      </w:r>
      <w:r w:rsidR="002F4710" w:rsidRPr="00622F53">
        <w:rPr>
          <w:b/>
        </w:rPr>
        <w:t>hree types of indicators that should</w:t>
      </w:r>
      <w:r w:rsidR="00AD64CA">
        <w:rPr>
          <w:b/>
        </w:rPr>
        <w:t xml:space="preserve"> be</w:t>
      </w:r>
      <w:r w:rsidR="002F4710" w:rsidRPr="00622F53">
        <w:rPr>
          <w:b/>
        </w:rPr>
        <w:t xml:space="preserve"> monitored when implementing a new TB diagnostic test</w:t>
      </w:r>
      <w:r>
        <w:rPr>
          <w:b/>
        </w:rPr>
        <w:t>, and give an e</w:t>
      </w:r>
      <w:r w:rsidR="002F4710" w:rsidRPr="00622F53">
        <w:rPr>
          <w:b/>
        </w:rPr>
        <w:t>xample</w:t>
      </w:r>
      <w:r>
        <w:rPr>
          <w:b/>
        </w:rPr>
        <w:t xml:space="preserve"> of each?</w:t>
      </w:r>
    </w:p>
    <w:p w14:paraId="08CD0E73" w14:textId="77777777" w:rsidR="002F4710" w:rsidRDefault="002F4710" w:rsidP="000529C2">
      <w:pPr>
        <w:pStyle w:val="ListParagraph"/>
        <w:numPr>
          <w:ilvl w:val="1"/>
          <w:numId w:val="8"/>
        </w:numPr>
        <w:spacing w:before="200" w:after="200" w:line="276" w:lineRule="auto"/>
      </w:pPr>
      <w:r>
        <w:t>Process indicators: how many health facilities had access to Xpert MTB/RIF testing services this year?</w:t>
      </w:r>
    </w:p>
    <w:p w14:paraId="3DB00926" w14:textId="77777777" w:rsidR="002F4710" w:rsidRDefault="002F4710" w:rsidP="000529C2">
      <w:pPr>
        <w:pStyle w:val="ListParagraph"/>
        <w:numPr>
          <w:ilvl w:val="1"/>
          <w:numId w:val="8"/>
        </w:numPr>
        <w:spacing w:before="200" w:after="200" w:line="276" w:lineRule="auto"/>
      </w:pPr>
      <w:r>
        <w:t>Outcome indicators:  how many patients diagnosed with Xpert MTB/RIF were initiated on treatment during this quarter?</w:t>
      </w:r>
    </w:p>
    <w:p w14:paraId="6E8EA536" w14:textId="6B46F60C" w:rsidR="004D3E4B" w:rsidRPr="001C67D1" w:rsidRDefault="002F4710" w:rsidP="000529C2">
      <w:pPr>
        <w:pStyle w:val="ListParagraph"/>
        <w:numPr>
          <w:ilvl w:val="1"/>
          <w:numId w:val="8"/>
        </w:numPr>
        <w:spacing w:before="200" w:after="200" w:line="276" w:lineRule="auto"/>
        <w:rPr>
          <w:rFonts w:ascii="Trebuchet MS" w:hAnsi="Trebuchet MS"/>
          <w:lang w:val="en-GB"/>
        </w:rPr>
      </w:pPr>
      <w:r>
        <w:t xml:space="preserve">Impact indicator: Did implementation of Xpert MTB/RIF result in a reduction in TB-associated mortality in HIV co-infected individuals? </w:t>
      </w:r>
    </w:p>
    <w:sectPr w:rsidR="004D3E4B" w:rsidRPr="001C67D1" w:rsidSect="004A3BAF">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AEAF3" w14:textId="77777777" w:rsidR="00896188" w:rsidRDefault="00896188" w:rsidP="00F53CFF">
      <w:pPr>
        <w:spacing w:after="0"/>
      </w:pPr>
      <w:r>
        <w:separator/>
      </w:r>
    </w:p>
  </w:endnote>
  <w:endnote w:type="continuationSeparator" w:id="0">
    <w:p w14:paraId="20DB38D3" w14:textId="77777777" w:rsidR="00896188" w:rsidRDefault="00896188"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HG丸ｺﾞｼｯｸM-PRO">
    <w:charset w:val="80"/>
    <w:family w:val="auto"/>
    <w:pitch w:val="variable"/>
    <w:sig w:usb0="E00002FF" w:usb1="6AC7FDFB" w:usb2="00000012" w:usb3="00000000" w:csb0="0002009F" w:csb1="00000000"/>
  </w:font>
  <w:font w:name="HGｺﾞｼｯｸM">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9E3BA" w14:textId="77777777" w:rsidR="00F53CFF" w:rsidRPr="00F53CFF" w:rsidRDefault="00F53CFF" w:rsidP="00862478">
    <w:pPr>
      <w:pStyle w:val="Footer"/>
      <w:framePr w:wrap="none" w:vAnchor="text" w:hAnchor="page" w:x="10282" w:y="-56"/>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1F0BF6">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6E4223E5" w14:textId="12C231C1" w:rsidR="00F53CFF" w:rsidRPr="00F53CFF" w:rsidRDefault="00F53CFF" w:rsidP="00D65675">
    <w:pPr>
      <w:pStyle w:val="Footer"/>
      <w:tabs>
        <w:tab w:val="center" w:pos="4680"/>
        <w:tab w:val="right" w:pos="9360"/>
      </w:tabs>
      <w:ind w:right="352"/>
      <w:rPr>
        <w:rFonts w:ascii="Trebuchet MS" w:hAnsi="Trebuchet MS"/>
        <w:sz w:val="16"/>
        <w:szCs w:val="16"/>
      </w:rPr>
    </w:pPr>
    <w:r w:rsidRPr="00F53CFF">
      <w:rPr>
        <w:rFonts w:ascii="Trebuchet MS" w:hAnsi="Trebuchet MS"/>
        <w:noProof/>
        <w:sz w:val="16"/>
        <w:szCs w:val="16"/>
      </w:rPr>
      <mc:AlternateContent>
        <mc:Choice Requires="wps">
          <w:drawing>
            <wp:anchor distT="0" distB="0" distL="114300" distR="114300" simplePos="0" relativeHeight="251658239" behindDoc="1" locked="0" layoutInCell="1" allowOverlap="1" wp14:anchorId="5F0FC3BC" wp14:editId="1A4A9F3F">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0A96C29F" id="Rectangle 1" o:spid="_x0000_s1026" style="position:absolute;margin-left:428.85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24D88933"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3A74BF">
      <w:rPr>
        <w:rFonts w:ascii="Trebuchet MS" w:hAnsi="Trebuchet MS"/>
        <w:sz w:val="16"/>
        <w:szCs w:val="16"/>
      </w:rPr>
      <w:t xml:space="preserve">Programme Module 2: </w:t>
    </w:r>
    <w:r w:rsidR="00B45044">
      <w:rPr>
        <w:rFonts w:ascii="Trebuchet MS" w:hAnsi="Trebuchet MS"/>
        <w:sz w:val="16"/>
        <w:szCs w:val="16"/>
        <w:lang w:val="en-GB"/>
      </w:rPr>
      <w:t>Implementing TB Diagnostics: Practical C</w:t>
    </w:r>
    <w:r w:rsidR="002F4710">
      <w:rPr>
        <w:rFonts w:ascii="Trebuchet MS" w:hAnsi="Trebuchet MS"/>
        <w:sz w:val="16"/>
        <w:szCs w:val="16"/>
        <w:lang w:val="en-GB"/>
      </w:rPr>
      <w:t>onsiderations</w:t>
    </w:r>
    <w:r w:rsidRPr="0026212D">
      <w:rPr>
        <w:rFonts w:ascii="Trebuchet MS" w:hAnsi="Trebuchet MS"/>
        <w:sz w:val="16"/>
        <w:szCs w:val="16"/>
        <w:lang w:val="en-GB"/>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72886" w14:textId="77777777" w:rsidR="00896188" w:rsidRDefault="00896188" w:rsidP="00F53CFF">
      <w:pPr>
        <w:spacing w:after="0"/>
      </w:pPr>
      <w:r>
        <w:separator/>
      </w:r>
    </w:p>
  </w:footnote>
  <w:footnote w:type="continuationSeparator" w:id="0">
    <w:p w14:paraId="106F74D0" w14:textId="77777777" w:rsidR="00896188" w:rsidRDefault="00896188" w:rsidP="00F53CF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BED12" w14:textId="77777777" w:rsidR="00B45044" w:rsidRDefault="003A74BF">
    <w:pPr>
      <w:pStyle w:val="Header"/>
      <w:rPr>
        <w:rFonts w:ascii="Trebuchet MS" w:hAnsi="Trebuchet MS"/>
        <w:color w:val="7F7F7F" w:themeColor="text1" w:themeTint="80"/>
      </w:rPr>
    </w:pPr>
    <w:r>
      <w:rPr>
        <w:rFonts w:ascii="Trebuchet MS" w:hAnsi="Trebuchet MS"/>
        <w:color w:val="7F7F7F" w:themeColor="text1" w:themeTint="80"/>
      </w:rPr>
      <w:t xml:space="preserve">Programme Module 2: </w:t>
    </w:r>
    <w:r w:rsidR="00B45044">
      <w:rPr>
        <w:rFonts w:ascii="Trebuchet MS" w:hAnsi="Trebuchet MS"/>
        <w:color w:val="7F7F7F" w:themeColor="text1" w:themeTint="80"/>
      </w:rPr>
      <w:t>Implementing TB D</w:t>
    </w:r>
    <w:r w:rsidR="002F4710">
      <w:rPr>
        <w:rFonts w:ascii="Trebuchet MS" w:hAnsi="Trebuchet MS"/>
        <w:color w:val="7F7F7F" w:themeColor="text1" w:themeTint="80"/>
      </w:rPr>
      <w:t>iagnostics</w:t>
    </w:r>
    <w:r w:rsidR="00066893">
      <w:rPr>
        <w:rFonts w:ascii="Trebuchet MS" w:hAnsi="Trebuchet MS"/>
        <w:color w:val="7F7F7F" w:themeColor="text1" w:themeTint="80"/>
      </w:rPr>
      <w:t xml:space="preserve"> </w:t>
    </w:r>
    <w:r w:rsidR="00B45044">
      <w:rPr>
        <w:rFonts w:ascii="Trebuchet MS" w:hAnsi="Trebuchet MS"/>
        <w:color w:val="7F7F7F" w:themeColor="text1" w:themeTint="80"/>
      </w:rPr>
      <w:t>Practical Considerations</w:t>
    </w:r>
    <w:r w:rsidR="00066893">
      <w:rPr>
        <w:rFonts w:ascii="Trebuchet MS" w:hAnsi="Trebuchet MS"/>
        <w:color w:val="7F7F7F" w:themeColor="text1" w:themeTint="80"/>
      </w:rPr>
      <w:t xml:space="preserve">– </w:t>
    </w:r>
  </w:p>
  <w:p w14:paraId="5450637F" w14:textId="3052AEE5" w:rsidR="00F53CFF" w:rsidRDefault="00066893">
    <w:pPr>
      <w:pStyle w:val="Header"/>
    </w:pPr>
    <w:r>
      <w:rPr>
        <w:rFonts w:ascii="Trebuchet MS" w:hAnsi="Trebuchet MS"/>
        <w:color w:val="7F7F7F" w:themeColor="text1" w:themeTint="80"/>
      </w:rPr>
      <w:t>Facilitator Guide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B0202"/>
    <w:multiLevelType w:val="hybridMultilevel"/>
    <w:tmpl w:val="30D02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767F65"/>
    <w:multiLevelType w:val="hybridMultilevel"/>
    <w:tmpl w:val="30D02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96F78"/>
    <w:multiLevelType w:val="hybridMultilevel"/>
    <w:tmpl w:val="3936341C"/>
    <w:lvl w:ilvl="0" w:tplc="0409000F">
      <w:start w:val="1"/>
      <w:numFmt w:val="decimal"/>
      <w:lvlText w:val="%1."/>
      <w:lvlJc w:val="left"/>
      <w:pPr>
        <w:ind w:left="720" w:hanging="360"/>
      </w:pPr>
    </w:lvl>
    <w:lvl w:ilvl="1" w:tplc="9B7C8282">
      <w:start w:val="1"/>
      <w:numFmt w:val="lowerLetter"/>
      <w:lvlText w:val="%2."/>
      <w:lvlJc w:val="left"/>
      <w:pPr>
        <w:ind w:left="1440" w:hanging="360"/>
      </w:pPr>
      <w:rPr>
        <w:rFonts w:hint="default"/>
        <w:color w:val="5BBEB4"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2970CA"/>
    <w:multiLevelType w:val="hybridMultilevel"/>
    <w:tmpl w:val="FB4C4B7C"/>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23D1E86"/>
    <w:multiLevelType w:val="hybridMultilevel"/>
    <w:tmpl w:val="4E7E9944"/>
    <w:lvl w:ilvl="0" w:tplc="0409000F">
      <w:start w:val="1"/>
      <w:numFmt w:val="decimal"/>
      <w:lvlText w:val="%1."/>
      <w:lvlJc w:val="left"/>
      <w:pPr>
        <w:ind w:left="720" w:hanging="360"/>
      </w:pPr>
    </w:lvl>
    <w:lvl w:ilvl="1" w:tplc="9B7C8282">
      <w:start w:val="1"/>
      <w:numFmt w:val="lowerLetter"/>
      <w:lvlText w:val="%2."/>
      <w:lvlJc w:val="left"/>
      <w:pPr>
        <w:ind w:left="1440" w:hanging="360"/>
      </w:pPr>
      <w:rPr>
        <w:rFonts w:hint="default"/>
        <w:color w:val="5BBEB4"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EB1B7B"/>
    <w:multiLevelType w:val="hybridMultilevel"/>
    <w:tmpl w:val="FB8A7664"/>
    <w:lvl w:ilvl="0" w:tplc="0409000F">
      <w:start w:val="1"/>
      <w:numFmt w:val="decimal"/>
      <w:lvlText w:val="%1."/>
      <w:lvlJc w:val="left"/>
      <w:pPr>
        <w:ind w:left="720" w:hanging="360"/>
      </w:pPr>
    </w:lvl>
    <w:lvl w:ilvl="1" w:tplc="9B7C8282">
      <w:start w:val="1"/>
      <w:numFmt w:val="lowerLetter"/>
      <w:lvlText w:val="%2."/>
      <w:lvlJc w:val="left"/>
      <w:pPr>
        <w:ind w:left="1440" w:hanging="360"/>
      </w:pPr>
      <w:rPr>
        <w:rFonts w:hint="default"/>
        <w:color w:val="5BBEB4"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5B3A33"/>
    <w:multiLevelType w:val="hybridMultilevel"/>
    <w:tmpl w:val="FB4C4B7C"/>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AF5540"/>
    <w:multiLevelType w:val="hybridMultilevel"/>
    <w:tmpl w:val="72A8F622"/>
    <w:lvl w:ilvl="0" w:tplc="0409000F">
      <w:start w:val="1"/>
      <w:numFmt w:val="decimal"/>
      <w:lvlText w:val="%1."/>
      <w:lvlJc w:val="left"/>
      <w:pPr>
        <w:ind w:left="720" w:hanging="360"/>
      </w:pPr>
    </w:lvl>
    <w:lvl w:ilvl="1" w:tplc="9B7C8282">
      <w:start w:val="1"/>
      <w:numFmt w:val="lowerLetter"/>
      <w:lvlText w:val="%2."/>
      <w:lvlJc w:val="left"/>
      <w:pPr>
        <w:ind w:left="1440" w:hanging="360"/>
      </w:pPr>
      <w:rPr>
        <w:rFonts w:hint="default"/>
        <w:color w:val="5BBEB4"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8"/>
  </w:num>
  <w:num w:numId="5">
    <w:abstractNumId w:val="9"/>
  </w:num>
  <w:num w:numId="6">
    <w:abstractNumId w:val="2"/>
  </w:num>
  <w:num w:numId="7">
    <w:abstractNumId w:val="6"/>
  </w:num>
  <w:num w:numId="8">
    <w:abstractNumId w:val="5"/>
  </w:num>
  <w:num w:numId="9">
    <w:abstractNumId w:val="0"/>
  </w:num>
  <w:num w:numId="10">
    <w:abstractNumId w:val="4"/>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doNotTrackMoves/>
  <w:defaultTabStop w:val="720"/>
  <w:hyphenationZone w:val="357"/>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FCA"/>
    <w:rsid w:val="00001C2A"/>
    <w:rsid w:val="00014DA8"/>
    <w:rsid w:val="000158A2"/>
    <w:rsid w:val="000250E9"/>
    <w:rsid w:val="00045A1B"/>
    <w:rsid w:val="000529C2"/>
    <w:rsid w:val="00066893"/>
    <w:rsid w:val="000C0338"/>
    <w:rsid w:val="001124AB"/>
    <w:rsid w:val="00173D5B"/>
    <w:rsid w:val="001769F7"/>
    <w:rsid w:val="00176C87"/>
    <w:rsid w:val="001850E1"/>
    <w:rsid w:val="001A1114"/>
    <w:rsid w:val="001B7E4E"/>
    <w:rsid w:val="001C5E1B"/>
    <w:rsid w:val="001C67D1"/>
    <w:rsid w:val="001D6AAD"/>
    <w:rsid w:val="001F0BF6"/>
    <w:rsid w:val="00204BEA"/>
    <w:rsid w:val="002448E8"/>
    <w:rsid w:val="00254E39"/>
    <w:rsid w:val="00257BA5"/>
    <w:rsid w:val="00261EE3"/>
    <w:rsid w:val="002632A8"/>
    <w:rsid w:val="00276D71"/>
    <w:rsid w:val="002957E1"/>
    <w:rsid w:val="002F4710"/>
    <w:rsid w:val="00322E0C"/>
    <w:rsid w:val="00343FF7"/>
    <w:rsid w:val="00385821"/>
    <w:rsid w:val="0039510A"/>
    <w:rsid w:val="003A2544"/>
    <w:rsid w:val="003A74BF"/>
    <w:rsid w:val="003F0BEA"/>
    <w:rsid w:val="0040780E"/>
    <w:rsid w:val="004130ED"/>
    <w:rsid w:val="004131E4"/>
    <w:rsid w:val="0042298E"/>
    <w:rsid w:val="004476C2"/>
    <w:rsid w:val="00492B97"/>
    <w:rsid w:val="004A3BAF"/>
    <w:rsid w:val="004C3DE5"/>
    <w:rsid w:val="004D3E4B"/>
    <w:rsid w:val="004E46E8"/>
    <w:rsid w:val="004F4BCF"/>
    <w:rsid w:val="00503704"/>
    <w:rsid w:val="00504593"/>
    <w:rsid w:val="00506A31"/>
    <w:rsid w:val="00530CD4"/>
    <w:rsid w:val="00560E02"/>
    <w:rsid w:val="005817AA"/>
    <w:rsid w:val="00591F75"/>
    <w:rsid w:val="005C5CE9"/>
    <w:rsid w:val="005F6EA6"/>
    <w:rsid w:val="00657023"/>
    <w:rsid w:val="00761FCA"/>
    <w:rsid w:val="00766C7B"/>
    <w:rsid w:val="00773EFB"/>
    <w:rsid w:val="00775656"/>
    <w:rsid w:val="007A039C"/>
    <w:rsid w:val="007E65A5"/>
    <w:rsid w:val="007F7644"/>
    <w:rsid w:val="00800787"/>
    <w:rsid w:val="00854A2E"/>
    <w:rsid w:val="00862478"/>
    <w:rsid w:val="00896188"/>
    <w:rsid w:val="008B0975"/>
    <w:rsid w:val="008B5747"/>
    <w:rsid w:val="00944C5C"/>
    <w:rsid w:val="00947BDD"/>
    <w:rsid w:val="00966A59"/>
    <w:rsid w:val="00967FC8"/>
    <w:rsid w:val="009765B6"/>
    <w:rsid w:val="009F1C95"/>
    <w:rsid w:val="00A35D82"/>
    <w:rsid w:val="00A36580"/>
    <w:rsid w:val="00A371BB"/>
    <w:rsid w:val="00A4279D"/>
    <w:rsid w:val="00A558F1"/>
    <w:rsid w:val="00A91B20"/>
    <w:rsid w:val="00AB7348"/>
    <w:rsid w:val="00AD3B5A"/>
    <w:rsid w:val="00AD64CA"/>
    <w:rsid w:val="00B018D1"/>
    <w:rsid w:val="00B45044"/>
    <w:rsid w:val="00B64570"/>
    <w:rsid w:val="00B70421"/>
    <w:rsid w:val="00B73B0A"/>
    <w:rsid w:val="00BF3290"/>
    <w:rsid w:val="00BF5AF7"/>
    <w:rsid w:val="00C069C5"/>
    <w:rsid w:val="00C223B3"/>
    <w:rsid w:val="00C44BB6"/>
    <w:rsid w:val="00C474EE"/>
    <w:rsid w:val="00C52FB4"/>
    <w:rsid w:val="00CA1E52"/>
    <w:rsid w:val="00CA3624"/>
    <w:rsid w:val="00CA69BC"/>
    <w:rsid w:val="00CC2EC0"/>
    <w:rsid w:val="00CD3D7D"/>
    <w:rsid w:val="00CD732C"/>
    <w:rsid w:val="00D14829"/>
    <w:rsid w:val="00D4219B"/>
    <w:rsid w:val="00D6008A"/>
    <w:rsid w:val="00D65675"/>
    <w:rsid w:val="00D74B56"/>
    <w:rsid w:val="00DA3E9B"/>
    <w:rsid w:val="00DB0017"/>
    <w:rsid w:val="00DC53E7"/>
    <w:rsid w:val="00DD5AA9"/>
    <w:rsid w:val="00DE20A5"/>
    <w:rsid w:val="00DF3044"/>
    <w:rsid w:val="00E027CB"/>
    <w:rsid w:val="00E15D50"/>
    <w:rsid w:val="00E4170E"/>
    <w:rsid w:val="00E44983"/>
    <w:rsid w:val="00E93C84"/>
    <w:rsid w:val="00EC0892"/>
    <w:rsid w:val="00ED7D5D"/>
    <w:rsid w:val="00F208AC"/>
    <w:rsid w:val="00F53CFF"/>
    <w:rsid w:val="00FB443E"/>
    <w:rsid w:val="00FE0409"/>
    <w:rsid w:val="00FE0ECC"/>
    <w:rsid w:val="00FE27C2"/>
    <w:rsid w:val="00FE5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7FC2C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B7348"/>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2"/>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31">
    <w:name w:val="Grid Table 2 - Accent 31"/>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31102">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671494295">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8889505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who.int/tb/%20publications/labindicators" TargetMode="External"/><Relationship Id="rId10" Type="http://schemas.openxmlformats.org/officeDocument/2006/relationships/header" Target="header1.xm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E1FFFA21-295D-4A42-B76B-DFAC8D7D7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557</Words>
  <Characters>3178</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3</cp:revision>
  <dcterms:created xsi:type="dcterms:W3CDTF">2017-05-24T14:25:00Z</dcterms:created>
  <dcterms:modified xsi:type="dcterms:W3CDTF">2017-05-24T14:28:00Z</dcterms:modified>
</cp:coreProperties>
</file>