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86AEF" w14:textId="77777777">
      <w:pPr>
        <w:spacing w:before="47"/>
        <w:ind w:right="-30"/>
        <w:jc w:val="center"/>
        <w:rPr>
          <w:rFonts w:asciiTheme="minorHAnsi" w:hAnsiTheme="minorHAnsi" w:cstheme="minorHAnsi" w:eastAsia="Arial"/>
          <w:b/>
          <w:color w:val="D40031"/>
          <w:sz w:val="20"/>
        </w:rPr>
      </w:pPr>
    </w:p>
    <w:p w14:paraId="378B884D" w14:textId="32F07E29">
      <w:pPr>
        <w:spacing w:before="47"/>
        <w:ind w:right="-30"/>
        <w:jc w:val="center"/>
        <w:rPr>
          <w:rFonts w:asciiTheme="minorHAnsi" w:hAnsiTheme="minorHAnsi" w:cstheme="minorHAnsi" w:eastAsia="Arial"/>
          <w:b/>
          <w:color w:val="D40031"/>
          <w:sz w:val="40"/>
        </w:rPr>
        <w:pStyle w:val="P68B1DB1-Normal1"/>
      </w:pPr>
      <w:r>
        <w:t xml:space="preserve">TB REACH Wave 11</w:t>
        <w:br/>
        <w:t>概念说明和应用信息</w:t>
      </w:r>
    </w:p>
    <w:p w14:paraId="7D3CA46B" w14:textId="77777777">
      <w:pPr>
        <w:jc w:val="center"/>
        <w:rPr>
          <w:rFonts w:asciiTheme="minorHAnsi" w:hAnsiTheme="minorHAnsi" w:cstheme="minorHAnsi"/>
          <w:b/>
          <w:i/>
          <w:sz w:val="32"/>
        </w:rPr>
      </w:pPr>
    </w:p>
    <w:p w14:paraId="7F91BDB9" w14:textId="3467628E">
      <w:pPr>
        <w:jc w:val="center"/>
        <w:rPr>
          <w:rFonts w:asciiTheme="minorHAnsi" w:hAnsiTheme="minorHAnsi" w:cstheme="minorHAnsi"/>
          <w:b/>
          <w:i/>
          <w:sz w:val="28"/>
        </w:rPr>
        <w:pStyle w:val="P68B1DB1-Normal2"/>
      </w:pPr>
      <w:r>
        <w:t>为结核病带来创新防治方法</w:t>
      </w:r>
    </w:p>
    <w:p w14:paraId="13A5419D" w14:textId="152860C4">
      <w:pPr>
        <w:spacing w:after="120"/>
        <w:jc w:val="center"/>
        <w:rPr>
          <w:rFonts w:asciiTheme="minorHAnsi" w:hAnsiTheme="minorHAnsi" w:cstheme="minorHAnsi"/>
          <w:b/>
          <w:i/>
          <w:sz w:val="28"/>
        </w:rPr>
        <w:pStyle w:val="P68B1DB1-Normal2"/>
      </w:pPr>
      <w:r>
        <w:t>让肺部健康更贴近受众需求</w:t>
      </w:r>
    </w:p>
    <w:p w14:paraId="1570AD46" w14:textId="77777777">
      <w:pPr>
        <w:spacing w:after="120"/>
        <w:jc w:val="center"/>
        <w:rPr>
          <w:rFonts w:asciiTheme="minorHAnsi" w:hAnsiTheme="minorHAnsi" w:cstheme="minorHAnsi"/>
          <w:i/>
          <w:sz w:val="28"/>
        </w:rPr>
      </w:pPr>
    </w:p>
    <w:p w14:paraId="078EF1CC" w14:textId="5E5A18AB">
      <w:pPr>
        <w:pStyle w:val="BodyText"/>
        <w:spacing w:before="120"/>
        <w:ind w:right="122"/>
        <w:jc w:val="both"/>
        <w:rPr>
          <w:rFonts w:asciiTheme="minorHAnsi" w:hAnsiTheme="minorHAnsi" w:cstheme="minorHAnsi"/>
        </w:rPr>
      </w:pPr>
      <w:r>
        <w:rPr>
          <w:rFonts w:asciiTheme="minorHAnsi" w:hAnsiTheme="minorHAnsi" w:cstheme="minorHAnsi" w:eastAsia="Calibri"/>
          <w:color w:val="000000"/>
        </w:rPr>
        <w:t xml:space="preserve">TB REACH是一项快速机制，可竞争性地选择并资助创新型方法</w:t>
      </w:r>
      <w:r>
        <w:rPr>
          <w:rFonts w:asciiTheme="minorHAnsi" w:hAnsiTheme="minorHAnsi" w:cstheme="minorHAnsi"/>
        </w:rPr>
        <w:t xml:space="preserve">和工具，以触达、诊断并治疗结核病、耐药结核并或结核感染患者。 受资助的项目经过严格、独立的监测与评估，旨在对接具有影响力的项目与长期资金扶持，提升项目可扩展性和可持续性。TB REACH现已启动新一轮的资助Wave项目。</w:t>
      </w:r>
    </w:p>
    <w:p w14:paraId="05FA2214" w14:textId="11DED1C4">
      <w:pPr>
        <w:pStyle w:val="BodyText"/>
        <w:spacing w:before="120"/>
        <w:ind w:right="122"/>
        <w:jc w:val="both"/>
        <w:rPr>
          <w:rFonts w:asciiTheme="minorHAnsi" w:hAnsiTheme="minorHAnsi" w:cstheme="minorHAnsi"/>
        </w:rPr>
      </w:pPr>
    </w:p>
    <w:p w14:paraId="67FA0D0A" w14:textId="77777777">
      <w:pPr>
        <w:jc w:val="both"/>
        <w:rPr>
          <w:rFonts w:asciiTheme="minorHAnsi" w:hAnsiTheme="minorHAnsi" w:cstheme="minorHAnsi"/>
          <w:b/>
        </w:rPr>
      </w:pPr>
    </w:p>
    <w:p w14:paraId="13FF8629" w14:textId="77777777">
      <w:pPr>
        <w:pStyle w:val="P68B1DB1-ListParagraph3"/>
        <w:numPr>
          <w:ilvl w:val="0"/>
          <w:numId w:val="14"/>
        </w:numPr>
        <w:jc w:val="both"/>
        <w:rPr>
          <w:rFonts w:asciiTheme="minorHAnsi" w:hAnsiTheme="minorHAnsi" w:cstheme="minorHAnsi"/>
          <w:b/>
          <w:sz w:val="28"/>
        </w:rPr>
      </w:pPr>
      <w:r>
        <w:t xml:space="preserve">Wave 11应用概述</w:t>
      </w:r>
    </w:p>
    <w:p w14:paraId="4D418B1C" w14:textId="77777777">
      <w:pPr>
        <w:jc w:val="both"/>
        <w:rPr>
          <w:rFonts w:asciiTheme="minorHAnsi" w:hAnsiTheme="minorHAnsi" w:cstheme="minorHAnsi"/>
          <w:b/>
        </w:rPr>
      </w:pPr>
    </w:p>
    <w:p w14:paraId="7FDF6528" w14:textId="7D84085B">
      <w:pPr>
        <w:jc w:val="both"/>
        <w:rPr>
          <w:rFonts w:asciiTheme="minorHAnsi" w:hAnsiTheme="minorHAnsi" w:cstheme="minorHAnsi"/>
          <w:b/>
          <w:sz w:val="24"/>
        </w:rPr>
        <w:pStyle w:val="P68B1DB1-Normal4"/>
      </w:pPr>
      <w:r>
        <w:t>主题与目标</w:t>
      </w:r>
    </w:p>
    <w:p w14:paraId="3838BE6C" w14:textId="77777777">
      <w:pPr>
        <w:jc w:val="both"/>
        <w:rPr>
          <w:rFonts w:asciiTheme="minorHAnsi" w:hAnsiTheme="minorHAnsi" w:cstheme="minorHAnsi"/>
        </w:rPr>
      </w:pPr>
      <w:r>
        <w:rPr>
          <w:rFonts w:asciiTheme="minorHAnsi" w:hAnsiTheme="minorHAnsi" w:cstheme="minorHAnsi" w:eastAsia="Calibri"/>
          <w:color w:val="000000"/>
        </w:rPr>
        <w:t xml:space="preserve">TB REACH Wave 11提案征集聚焦在初级和社区层面将结核病服务交付与其他疾病相结合的创新方法。</w:t>
      </w:r>
      <w:r>
        <w:rPr>
          <w:rFonts w:asciiTheme="minorHAnsi" w:hAnsiTheme="minorHAnsi" w:cstheme="minorHAnsi"/>
        </w:rPr>
        <w:t xml:space="preserve">所有Wave 11提案</w:t>
      </w:r>
      <w:r>
        <w:rPr>
          <w:rFonts w:asciiTheme="minorHAnsi" w:hAnsiTheme="minorHAnsi" w:cstheme="minorHAnsi"/>
          <w:b/>
        </w:rPr>
        <w:t>须</w:t>
      </w:r>
      <w:r>
        <w:rPr>
          <w:rFonts w:asciiTheme="minorHAnsi" w:hAnsiTheme="minorHAnsi" w:cstheme="minorHAnsi"/>
        </w:rPr>
        <w:t>证明其干预措施对以下方面的贡献：</w:t>
      </w:r>
    </w:p>
    <w:p w14:paraId="73EDF7B1" w14:textId="77777777">
      <w:pPr>
        <w:pStyle w:val="P68B1DB1-ListParagraph5"/>
        <w:widowControl/>
        <w:numPr>
          <w:ilvl w:val="0"/>
          <w:numId w:val="8"/>
        </w:numPr>
        <w:autoSpaceDE/>
        <w:autoSpaceDN/>
        <w:contextualSpacing/>
        <w:jc w:val="both"/>
        <w:rPr>
          <w:rFonts w:asciiTheme="minorHAnsi" w:hAnsiTheme="minorHAnsi" w:cstheme="minorHAnsi"/>
        </w:rPr>
      </w:pPr>
      <w:r>
        <w:t>改善结核病患者的检测和护理。</w:t>
      </w:r>
    </w:p>
    <w:p w14:paraId="0B4445ED" w14:textId="77777777">
      <w:pPr>
        <w:pStyle w:val="P68B1DB1-ListParagraph5"/>
        <w:numPr>
          <w:ilvl w:val="0"/>
          <w:numId w:val="5"/>
        </w:numPr>
        <w:spacing w:before="58"/>
        <w:jc w:val="both"/>
        <w:rPr>
          <w:rFonts w:asciiTheme="minorHAnsi" w:hAnsiTheme="minorHAnsi" w:cstheme="minorHAnsi"/>
        </w:rPr>
      </w:pPr>
      <w:r>
        <w:t>促进以人为本的结核病和肺部健康综合服务交付（ISD），使其更贴近需求点。</w:t>
      </w:r>
    </w:p>
    <w:p w14:paraId="553B5BE7" w14:textId="77777777">
      <w:pPr>
        <w:pStyle w:val="P68B1DB1-ListParagraph5"/>
        <w:numPr>
          <w:ilvl w:val="0"/>
          <w:numId w:val="5"/>
        </w:numPr>
        <w:spacing w:before="58"/>
        <w:jc w:val="both"/>
        <w:rPr>
          <w:rFonts w:asciiTheme="minorHAnsi" w:hAnsiTheme="minorHAnsi" w:cstheme="minorHAnsi"/>
        </w:rPr>
      </w:pPr>
      <w:r>
        <w:t>纳入针对结核病患者或受结核病影响者促进性别平等议题的干预措施。</w:t>
      </w:r>
    </w:p>
    <w:p w14:paraId="61419FB5" w14:textId="77777777">
      <w:pPr>
        <w:pStyle w:val="P68B1DB1-ListParagraph6"/>
        <w:numPr>
          <w:ilvl w:val="0"/>
          <w:numId w:val="5"/>
        </w:numPr>
        <w:spacing w:before="58"/>
        <w:contextualSpacing/>
        <w:jc w:val="both"/>
        <w:rPr>
          <w:rFonts w:asciiTheme="minorHAnsi" w:hAnsiTheme="minorHAnsi" w:cstheme="minorHAnsi"/>
          <w:color w:val="000000"/>
        </w:rPr>
      </w:pPr>
      <w:r>
        <w:t>致力于发动政府、全球基金项目及其他合作伙伴，促进项目可持续性</w:t>
      </w:r>
    </w:p>
    <w:p w14:paraId="2D98C716" w14:textId="77777777">
      <w:pPr>
        <w:pStyle w:val="ListParagraph"/>
        <w:spacing w:before="58"/>
        <w:jc w:val="both"/>
        <w:rPr>
          <w:rFonts w:asciiTheme="minorHAnsi" w:hAnsiTheme="minorHAnsi" w:cstheme="minorHAnsi"/>
          <w:color w:val="000000"/>
        </w:rPr>
      </w:pPr>
    </w:p>
    <w:p w14:paraId="591A52C9" w14:textId="77777777">
      <w:pPr>
        <w:jc w:val="both"/>
        <w:rPr>
          <w:rFonts w:asciiTheme="minorHAnsi" w:hAnsiTheme="minorHAnsi" w:cstheme="minorHAnsi" w:eastAsia="Calibri"/>
          <w:color w:val="0070C0"/>
        </w:rPr>
        <w:pStyle w:val="P68B1DB1-Normal7"/>
      </w:pPr>
      <w:r>
        <w:rPr>
          <w:color w:val="000000" w:themeColor="text1"/>
        </w:rPr>
        <w:t>本文阐述了资助范围、申请流程、资格条件和申请时限。如需了解有关主题和可能干预措施的深入信息，欢迎参阅</w:t>
      </w:r>
      <w:r>
        <w:rPr>
          <w:color w:val="0070C0"/>
          <w:highlight w:val="yellow"/>
        </w:rPr>
        <w:t xml:space="preserve">Wave 11技术信息简章。</w:t>
      </w:r>
    </w:p>
    <w:p w14:paraId="61E6C0E9" w14:textId="77777777">
      <w:pPr>
        <w:spacing w:after="120"/>
        <w:jc w:val="both"/>
        <w:rPr>
          <w:rFonts w:asciiTheme="minorHAnsi" w:hAnsiTheme="minorHAnsi" w:cstheme="minorHAnsi" w:eastAsia="Arial"/>
          <w:color w:val="0070C0"/>
          <w:sz w:val="24"/>
        </w:rPr>
      </w:pPr>
    </w:p>
    <w:p w14:paraId="6C8386F4" w14:textId="5757B136">
      <w:pPr>
        <w:spacing w:after="120"/>
        <w:jc w:val="both"/>
        <w:rPr>
          <w:rFonts w:asciiTheme="minorHAnsi" w:hAnsiTheme="minorHAnsi" w:cstheme="minorHAnsi" w:eastAsia="Calibri"/>
          <w:b/>
          <w:color w:val="000000"/>
          <w:sz w:val="24"/>
        </w:rPr>
        <w:pStyle w:val="P68B1DB1-Normal8"/>
      </w:pPr>
      <w:r>
        <w:t xml:space="preserve">Wave 11的背景信息</w:t>
      </w:r>
    </w:p>
    <w:p w14:paraId="0CDD3674" w14:textId="77777777">
      <w:pPr>
        <w:spacing w:after="120"/>
        <w:jc w:val="both"/>
        <w:rPr>
          <w:rFonts w:asciiTheme="minorHAnsi" w:hAnsiTheme="minorHAnsi" w:cstheme="minorHAnsi" w:eastAsia="Calibri"/>
          <w:b/>
          <w:color w:val="000000"/>
        </w:rPr>
        <w:pStyle w:val="P68B1DB1-Normal9"/>
      </w:pPr>
      <w:r>
        <w:t xml:space="preserve">尽管人们在全球范围内做出了重大努力，结核病仍然是人类发病和死亡的主要原因。数百万受结核病影响的人群被卫生系统遗漏，或在及时诊断、治疗和预防结核病方面面临障碍。 </w:t>
      </w:r>
      <w:r>
        <w:rPr>
          <w:color w:val="212121"/>
          <w:shd w:val="clear" w:color="auto" w:fill="FFFFFF"/>
        </w:rPr>
        <w:t>在新冠肺炎疫情期间，包括提供结核病服务在内的卫生服务中断，突显出建立具有抗灾能力的国家卫生系统的必要性。包括慢性呼吸道疾病（CRD）在内的</w:t>
      </w:r>
      <w:r>
        <w:rPr>
          <w:color w:val="212121"/>
          <w:shd w:val="clear" w:color="auto" w:fill="FFFFFF"/>
        </w:rPr>
        <w:t>非传染性疾病（NCD）负担日益增加，进一步挤压了在传染性疾病影响下已然应接不暇的卫生系统，这种显现在中低收入国家（LMIC）尤其明显。</w:t>
      </w:r>
      <w:r>
        <w:rPr>
          <w:shd w:val="clear" w:color="auto" w:fill="FFFFFF"/>
        </w:rPr>
        <w:t>初级卫生保健（PHC）是可持续、以人为本、以社区为基础的综合结核病服务交付系统的基石</w:t>
      </w:r>
      <w:r>
        <w:t>。</w:t>
      </w:r>
    </w:p>
    <w:p w14:paraId="1D7EC4B4" w14:textId="77777777">
      <w:pPr>
        <w:jc w:val="both"/>
        <w:rPr>
          <w:rFonts w:asciiTheme="minorHAnsi" w:hAnsiTheme="minorHAnsi" w:cstheme="minorHAnsi"/>
          <w:shd w:val="clear" w:color="auto" w:fill="FFFFFF"/>
        </w:rPr>
        <w:pStyle w:val="P68B1DB1-Normal9"/>
      </w:pPr>
      <w:r>
        <w:rPr>
          <w:color w:val="212121"/>
          <w:shd w:val="clear" w:color="auto" w:fill="FFFFFF"/>
        </w:rPr>
        <w:t>扩大初级卫生保健（PHC）系统对于强化卫生系统，并在随后实现全民保健覆盖至关重要</w:t>
      </w:r>
      <w:r>
        <w:t>。</w:t>
      </w:r>
      <w:r>
        <w:rPr>
          <w:shd w:val="clear" w:color="auto" w:fill="FFFFFF"/>
        </w:rPr>
        <w:t xml:space="preserve">TB REACH长期以来一直支持通过PHC模式提供结核病服务，重点关注 </w:t>
      </w:r>
      <w:r>
        <w:rPr>
          <w:b/>
          <w:shd w:val="clear" w:color="auto" w:fill="FFFFFF"/>
        </w:rPr>
        <w:t>社区</w:t>
      </w:r>
      <w:r>
        <w:rPr>
          <w:shd w:val="clear" w:color="auto" w:fill="FFFFFF"/>
        </w:rPr>
        <w:t>层级，致力于发现并治疗结核病患者。</w:t>
      </w:r>
      <w:r>
        <w:t xml:space="preserve"> </w:t>
      </w:r>
    </w:p>
    <w:p w14:paraId="234CE896" w14:textId="77777777">
      <w:pPr>
        <w:jc w:val="both"/>
        <w:rPr>
          <w:rFonts w:asciiTheme="minorHAnsi" w:hAnsiTheme="minorHAnsi" w:cstheme="minorHAnsi"/>
          <w:shd w:val="clear" w:color="auto" w:fill="FFFFFF"/>
        </w:rPr>
      </w:pPr>
    </w:p>
    <w:p w14:paraId="58838900" w14:textId="5ABC8143">
      <w:pPr>
        <w:jc w:val="both"/>
        <w:rPr>
          <w:rFonts w:asciiTheme="minorHAnsi" w:hAnsiTheme="minorHAnsi" w:cstheme="minorHAnsi"/>
          <w:shd w:val="clear" w:color="auto" w:fill="FFFFFF"/>
        </w:rPr>
        <w:pStyle w:val="P68B1DB1-Normal10"/>
      </w:pPr>
      <w:r>
        <w:rPr>
          <w:color w:val="212121"/>
        </w:rPr>
        <w:t xml:space="preserve">在全球范围内，呼吸道症状是人们前往初级保健机构就医的最常见原因。慢性呼吸道疾病（CRD）负担的日益增加是一个令人关切的问题，特别是在低收入中等收入国家，在这里地区，相关疾病带来的后果往往更糟。值得注意的是，结核病和慢性呼吸道疾病（如哮喘、慢性阻塞性肺病COPD和职业性肺病）具有共同的风险因素。 尽管医疗系统对结核病和CRD都采取了可行的干预措施，但许多人仍然缺乏正确的诊断和治疗，这突出了卫生系统在初级保健和社区护理层面对综合服务交付（ISD）的需求</w:t>
      </w:r>
      <w:r>
        <w:t xml:space="preserve">。 </w:t>
      </w:r>
    </w:p>
    <w:p w14:paraId="492B9BEB" w14:textId="77777777">
      <w:pPr>
        <w:jc w:val="both"/>
        <w:rPr>
          <w:rFonts w:asciiTheme="minorHAnsi" w:hAnsiTheme="minorHAnsi" w:cstheme="minorHAnsi"/>
          <w:shd w:val="clear" w:color="auto" w:fill="FFFFFF"/>
        </w:rPr>
      </w:pPr>
    </w:p>
    <w:p w14:paraId="290954D3" w14:textId="3327B6C9">
      <w:pPr>
        <w:spacing w:after="120"/>
        <w:jc w:val="both"/>
        <w:rPr>
          <w:rFonts w:asciiTheme="minorHAnsi" w:hAnsiTheme="minorHAnsi" w:cstheme="minorHAnsi"/>
        </w:rPr>
      </w:pPr>
      <w:r>
        <w:rPr>
          <w:rFonts w:asciiTheme="minorHAnsi" w:hAnsiTheme="minorHAnsi" w:cstheme="minorHAnsi" w:eastAsia="Calibri"/>
          <w:color w:val="000000" w:themeColor="text1"/>
        </w:rPr>
        <w:t xml:space="preserve">整合卫生服务可以提高卫生系统的效率，并有助于强化卫生系统（HSS）。 对于寻求和接受医疗保健服务的人群来说，ISD更加方便，能够消除他们获取服务的壁垒，节省时间和成本，帮助他们同时获得多项服务，还能改善多种健康症状的护理连续性和治疗协调性，从而改善他们的服务体验。尽管结核病服务的整合在某些垂直项目（如艾滋病毒和糖尿病）中取得了成功，但其他领域尚未充分发展相关整合项目，且在与其他非传染性疾病，特别是CRD的整合方面，我们仍然缺乏证据。世卫组织的Practical Approach to Lung Health（肺部健康实用方法，简称PAL）战略就是这样一项旨在改善呼吸道疾病患者联合管理的ISD计划。PAL在</w:t>
      </w:r>
      <w:r>
        <w:rPr>
          <w:rFonts w:asciiTheme="minorHAnsi" w:hAnsiTheme="minorHAnsi" w:cstheme="minorHAnsi"/>
        </w:rPr>
        <w:t xml:space="preserve">各方面带来了积极的成果，例如，改进了结核病和CRD的检测以及护理质量，但实际实施受到各种挑战的限制，其中包括资源有效的限制。 许多其他疾病的ISD实施也面临着相同的限制。</w:t>
      </w:r>
    </w:p>
    <w:p w14:paraId="6607DCF2" w14:textId="159C13DD">
      <w:pPr>
        <w:spacing w:after="120"/>
        <w:jc w:val="both"/>
        <w:rPr>
          <w:rFonts w:asciiTheme="minorHAnsi" w:hAnsiTheme="minorHAnsi" w:cstheme="minorHAnsi" w:eastAsia="Calibri"/>
          <w:color w:val="000000"/>
        </w:rPr>
        <w:pStyle w:val="P68B1DB1-Normal11"/>
      </w:pPr>
      <w:r>
        <w:t xml:space="preserve">TB REACH通过Wave 10资助项目支持基于该框架的ISD干预措施。 对于Wave 11，我们将在已有努力的基础上整合结核病和其他疾病领域，同时更具体地关注肺部健康。</w:t>
      </w:r>
    </w:p>
    <w:p w14:paraId="56B415E4" w14:textId="77777777">
      <w:pPr>
        <w:spacing w:after="120"/>
        <w:rPr>
          <w:rFonts w:asciiTheme="minorHAnsi" w:hAnsiTheme="minorHAnsi" w:cstheme="minorHAnsi"/>
        </w:rPr>
      </w:pPr>
    </w:p>
    <w:p w14:paraId="55B8ADD5" w14:textId="29665FFC">
      <w:pPr>
        <w:spacing w:after="120"/>
        <w:rPr>
          <w:rFonts w:asciiTheme="minorHAnsi" w:hAnsiTheme="minorHAnsi" w:cstheme="minorHAnsi"/>
          <w:b/>
          <w:sz w:val="24"/>
        </w:rPr>
        <w:pStyle w:val="P68B1DB1-Normal4"/>
      </w:pPr>
      <w:r>
        <w:t xml:space="preserve">Wave 11资助注意事项 </w:t>
      </w:r>
    </w:p>
    <w:p w14:paraId="28F1B4B3" w14:textId="77777777">
      <w:pPr>
        <w:pStyle w:val="P68B1DB1-ListParagraph12"/>
        <w:widowControl/>
        <w:numPr>
          <w:ilvl w:val="0"/>
          <w:numId w:val="9"/>
        </w:numPr>
        <w:autoSpaceDE/>
        <w:autoSpaceDN/>
        <w:spacing w:after="120"/>
        <w:contextualSpacing/>
        <w:jc w:val="both"/>
        <w:rPr>
          <w:rFonts w:asciiTheme="minorHAnsi" w:hAnsiTheme="minorHAnsi" w:cstheme="minorHAnsi"/>
          <w:b/>
        </w:rPr>
      </w:pPr>
      <w:r>
        <w:t xml:space="preserve">为结核病和肺部健康提供综合服务交付的创新ISD方法 </w:t>
      </w:r>
    </w:p>
    <w:p w14:paraId="5BADF537" w14:textId="6BE9715F">
      <w:pPr>
        <w:spacing w:after="120"/>
        <w:jc w:val="both"/>
        <w:rPr>
          <w:rFonts w:asciiTheme="minorHAnsi" w:hAnsiTheme="minorHAnsi" w:cstheme="minorHAnsi"/>
          <w:b/>
        </w:rPr>
      </w:pPr>
      <w:r>
        <w:rPr>
          <w:rFonts w:asciiTheme="minorHAnsi" w:hAnsiTheme="minorHAnsi" w:cstheme="minorHAnsi"/>
        </w:rPr>
        <w:t xml:space="preserve">Wave 11干预措施应包含可行的创新护理模式，支持结核病和其他肺部疾病的ISD，并尽可能靠近初始护理点。TB REACH Wave 11项目旨在强化PHC支柱，</w:t>
      </w:r>
      <w:r>
        <w:rPr>
          <w:rStyle w:val="FootnoteReference"/>
          <w:rFonts w:asciiTheme="minorHAnsi" w:hAnsiTheme="minorHAnsi" w:cstheme="minorHAnsi"/>
        </w:rPr>
        <w:footnoteReference w:id="1"/>
      </w:r>
      <w:r>
        <w:rPr>
          <w:rFonts w:asciiTheme="minorHAnsi" w:hAnsiTheme="minorHAnsi" w:cstheme="minorHAnsi"/>
        </w:rPr>
        <w:t>改善社区和初级保健层面的结核病服务。申请人应考虑在第一接触点采取干预措施，包括基于社区的服务交付点和人们寻求结核病诊治的PHC诊所。我们鼓励旨在加强诊断能力的干预措施，包括针对社区或初级机构的检测和其他诊断解决方案。</w:t>
      </w:r>
    </w:p>
    <w:p w14:paraId="3BA5360B" w14:textId="75AF3003">
      <w:pPr>
        <w:jc w:val="both"/>
        <w:rPr>
          <w:rFonts w:asciiTheme="minorHAnsi" w:hAnsiTheme="minorHAnsi" w:cstheme="minorHAnsi"/>
        </w:rPr>
        <w:pStyle w:val="P68B1DB1-Normal9"/>
      </w:pPr>
      <w:r>
        <w:t xml:space="preserve">TB REACH重视的创新包括：使用新工具、新方法、新工作法以及触达人群的新方法。拟议干预措施的设计应满足在第一护理点结核病就诊人员的不同需求，进而满足其他服务交付点就诊人员的不同需求，这一点十分重要。我们鼓励Wave 11申请人探索ISD模型以及用于筛查、诊断和治疗的工具创新。</w:t>
      </w:r>
    </w:p>
    <w:p w14:paraId="4C170F86" w14:textId="77777777">
      <w:pPr>
        <w:jc w:val="both"/>
        <w:rPr>
          <w:rFonts w:asciiTheme="minorHAnsi" w:hAnsiTheme="minorHAnsi" w:cstheme="minorHAnsi"/>
        </w:rPr>
      </w:pPr>
    </w:p>
    <w:p w14:paraId="2BBB651E" w14:textId="77777777">
      <w:pPr>
        <w:jc w:val="both"/>
        <w:rPr>
          <w:rFonts w:asciiTheme="minorHAnsi" w:hAnsiTheme="minorHAnsi" w:cstheme="minorHAnsi"/>
        </w:rPr>
        <w:pStyle w:val="P68B1DB1-Normal9"/>
      </w:pPr>
      <w:r>
        <w:t>干预措施的设计应实现多重疾病筛查和肺部护理，或证实多重疾病筛查和肺部护理的可行性，定义并实施全面的PHC肺部护理套餐，降低个体和卫生系统成本，并同时被医护人员和就诊人群所接受。</w:t>
      </w:r>
    </w:p>
    <w:p w14:paraId="4F22F6C8" w14:textId="77777777">
      <w:pPr>
        <w:jc w:val="both"/>
        <w:rPr>
          <w:rFonts w:asciiTheme="minorHAnsi" w:hAnsiTheme="minorHAnsi" w:cstheme="minorHAnsi"/>
        </w:rPr>
      </w:pPr>
    </w:p>
    <w:p w14:paraId="0B622A0E" w14:textId="77777777">
      <w:pPr>
        <w:pStyle w:val="P68B1DB1-ListParagraph12"/>
        <w:widowControl/>
        <w:numPr>
          <w:ilvl w:val="0"/>
          <w:numId w:val="9"/>
        </w:numPr>
        <w:autoSpaceDE/>
        <w:autoSpaceDN/>
        <w:contextualSpacing/>
        <w:jc w:val="both"/>
        <w:rPr>
          <w:rFonts w:asciiTheme="minorHAnsi" w:hAnsiTheme="minorHAnsi" w:cstheme="minorHAnsi"/>
          <w:b/>
        </w:rPr>
      </w:pPr>
      <w:r>
        <w:t>促进性别平等的结核病干预措施</w:t>
      </w:r>
    </w:p>
    <w:p w14:paraId="4FF414EE" w14:textId="590D41F9">
      <w:pPr>
        <w:spacing w:line="259" w:lineRule="auto"/>
        <w:jc w:val="both"/>
        <w:rPr>
          <w:rFonts w:asciiTheme="minorHAnsi" w:hAnsiTheme="minorHAnsi" w:cstheme="minorHAnsi"/>
        </w:rPr>
        <w:pStyle w:val="P68B1DB1-Normal9"/>
      </w:pPr>
      <w:r>
        <w:t xml:space="preserve">性别在结核病流行病学、风险因素的接触、人们就诊和接受治疗的过程以及随后的治疗效果中起着至关重要的作用。Wave 11 TB REACH项目要求探讨结核病流行病学和社会学方面的内容，以及由此产生的性别不平等现象。</w:t>
      </w:r>
      <w:r>
        <w:rPr>
          <w:color w:val="343434"/>
        </w:rPr>
        <w:t xml:space="preserve">TB REACH应用应根据其实际情况描述性别对结核病服务获取的影响，</w:t>
      </w:r>
      <w:r>
        <w:t>以及拟议干预措施将如何应对针对性别的挑战，以确保可被获得且可被接受的护理。提案应展示干预措施将如何积极应对社会规范，并探索其他交叉风险因素，例如年龄、种族、性取向、职业等，以识别并触达最弱势的群体。</w:t>
      </w:r>
    </w:p>
    <w:p w14:paraId="61D3D0FD" w14:textId="77777777">
      <w:pPr>
        <w:jc w:val="both"/>
        <w:rPr>
          <w:rFonts w:asciiTheme="minorHAnsi" w:hAnsiTheme="minorHAnsi" w:cstheme="minorHAnsi"/>
        </w:rPr>
      </w:pPr>
    </w:p>
    <w:p w14:paraId="160574A5" w14:textId="77777777">
      <w:pPr>
        <w:pStyle w:val="P68B1DB1-ListParagraph12"/>
        <w:widowControl/>
        <w:numPr>
          <w:ilvl w:val="0"/>
          <w:numId w:val="9"/>
        </w:numPr>
        <w:autoSpaceDE/>
        <w:autoSpaceDN/>
        <w:contextualSpacing/>
        <w:jc w:val="both"/>
        <w:rPr>
          <w:rFonts w:asciiTheme="minorHAnsi" w:hAnsiTheme="minorHAnsi" w:cstheme="minorHAnsi"/>
          <w:b/>
        </w:rPr>
      </w:pPr>
      <w:r>
        <w:t>妇女和女童赋能</w:t>
      </w:r>
    </w:p>
    <w:p w14:paraId="6A58A5A5" w14:textId="7812A822">
      <w:pPr>
        <w:jc w:val="both"/>
        <w:rPr>
          <w:rFonts w:asciiTheme="minorHAnsi" w:hAnsiTheme="minorHAnsi" w:cstheme="minorHAnsi"/>
        </w:rPr>
        <w:pStyle w:val="P68B1DB1-Normal9"/>
      </w:pPr>
      <w:r>
        <w:t xml:space="preserve">在许多情况下，妇女更容易受到社会和经济不平等的影响，且受教育程度较低、就业机会较少且收入较低。加拿大全球事务部支持的TB REACH前序提案征集项目（Wave 7）与社区组织合作，成功地将重点放在妇女赋权问题上。 TB REACH项目将继续进一步探索通过干预措施支持妇女和女童的方式。我们将要求被邀请提交</w:t>
      </w:r>
      <w:r>
        <w:rPr>
          <w:b/>
        </w:rPr>
        <w:t>第二阶段提案</w:t>
      </w:r>
      <w:r>
        <w:t>的申请人展示他们的计划如何为在其组织和所在社区中工作的女性赋能。</w:t>
      </w:r>
    </w:p>
    <w:p w14:paraId="65D7A49F" w14:textId="77777777">
      <w:pPr>
        <w:jc w:val="both"/>
        <w:rPr>
          <w:rFonts w:asciiTheme="minorHAnsi" w:hAnsiTheme="minorHAnsi" w:cstheme="minorHAnsi"/>
        </w:rPr>
      </w:pPr>
    </w:p>
    <w:p w14:paraId="1CD3675E" w14:textId="7EC90E7E">
      <w:pPr>
        <w:pStyle w:val="P68B1DB1-ListParagraph12"/>
        <w:widowControl/>
        <w:numPr>
          <w:ilvl w:val="0"/>
          <w:numId w:val="9"/>
        </w:numPr>
        <w:autoSpaceDE/>
        <w:autoSpaceDN/>
        <w:contextualSpacing/>
        <w:rPr>
          <w:rFonts w:asciiTheme="minorHAnsi" w:hAnsiTheme="minorHAnsi" w:cstheme="minorHAnsi"/>
          <w:b/>
        </w:rPr>
      </w:pPr>
      <w:r>
        <w:t>让相关合作伙伴参与可持续发展</w:t>
      </w:r>
    </w:p>
    <w:p w14:paraId="7531416F" w14:textId="1E7042CB">
      <w:pPr>
        <w:jc w:val="both"/>
        <w:rPr>
          <w:rFonts w:asciiTheme="minorHAnsi" w:hAnsiTheme="minorHAnsi" w:cstheme="minorHAnsi"/>
        </w:rPr>
        <w:pStyle w:val="P68B1DB1-Normal9"/>
      </w:pPr>
      <w:r>
        <w:t xml:space="preserve">TB REACH项目持续时间较短，但依靠密集的数据收集工作和监测与评估来记录结果。响应结果应为国家结核病应对措施提供信息。 此外，TB REACH项目在现有的卫生系统内运作，需要地方当局的支持才能充分发挥作用。为了在初级保健层面促进结核病和肺部健康的协作护理，项目应积极与国家结核病计划（NTP）、卫生部（MOH）各部门、胸科医生专业协会、哮喘科室等部门通力合作。TB REACH支持的项目不应取代现有服务，而应寻求补充或加强与此类机构（公共和私营机构）的联系。</w:t>
      </w:r>
    </w:p>
    <w:p w14:paraId="7DA839AE" w14:textId="77777777">
      <w:pPr>
        <w:jc w:val="both"/>
        <w:rPr>
          <w:rFonts w:asciiTheme="minorHAnsi" w:hAnsiTheme="minorHAnsi" w:cstheme="minorHAnsi"/>
        </w:rPr>
      </w:pPr>
    </w:p>
    <w:p w14:paraId="39B9B9E1" w14:textId="77777777">
      <w:pPr>
        <w:jc w:val="both"/>
        <w:rPr>
          <w:rFonts w:asciiTheme="minorHAnsi" w:hAnsiTheme="minorHAnsi" w:cstheme="minorHAnsi"/>
        </w:rPr>
        <w:pStyle w:val="P68B1DB1-Normal9"/>
      </w:pPr>
      <w:r>
        <w:t xml:space="preserve">Wave 11申请人需提供NTP和相关卫生部门出具的支持函。项目所需的最低NTP支持水平为：承诺为所有结核病患者提供免费的结核病治疗药物；与现有的诊断设施（如痰液检测）挂钩；获得其他支持性护理，包括但不限于结核病预防性治疗、营养支持、心理支持以及当地为结核病患者提供的其他促进因素。</w:t>
      </w:r>
    </w:p>
    <w:p w14:paraId="251CB559" w14:textId="77777777">
      <w:pPr>
        <w:jc w:val="both"/>
        <w:rPr>
          <w:rFonts w:asciiTheme="minorHAnsi" w:hAnsiTheme="minorHAnsi" w:cstheme="minorHAnsi"/>
        </w:rPr>
      </w:pPr>
    </w:p>
    <w:p w14:paraId="5965CB2E" w14:textId="53BF2D61">
      <w:pPr>
        <w:spacing w:after="120"/>
        <w:jc w:val="both"/>
        <w:rPr>
          <w:rFonts w:asciiTheme="minorHAnsi" w:hAnsiTheme="minorHAnsi" w:cstheme="minorHAnsi"/>
        </w:rPr>
        <w:pStyle w:val="P68B1DB1-Normal9"/>
      </w:pPr>
      <w:r>
        <w:t xml:space="preserve">在此前的Wave项目中，NTP本身也有资格申请TB REACH资金。由NTP牵头或涉及NTP的项目获得政府支持的可能性更高。然而，由于国家官僚机构的审批流程，在TB REACH分配的较短时间框架内，NTP往往面临创新方法在实施层面的困难。对于此次Wave资助项目，我们鼓励申请人将NTP（国家、省和地区层面）作为次级受资人/合作伙伴纳入其提案。</w:t>
      </w:r>
    </w:p>
    <w:p w14:paraId="3130983A" w14:textId="77777777">
      <w:pPr>
        <w:jc w:val="both"/>
        <w:rPr>
          <w:rFonts w:asciiTheme="minorHAnsi" w:hAnsiTheme="minorHAnsi" w:cstheme="minorHAnsi"/>
        </w:rPr>
      </w:pPr>
    </w:p>
    <w:p w14:paraId="304CADDB" w14:textId="77777777">
      <w:pPr>
        <w:jc w:val="both"/>
        <w:rPr>
          <w:rFonts w:asciiTheme="minorHAnsi" w:hAnsiTheme="minorHAnsi" w:cstheme="minorHAnsi"/>
        </w:rPr>
        <w:pStyle w:val="P68B1DB1-Normal9"/>
      </w:pPr>
      <w:r>
        <w:t>此外，项目必须与其他相关MOH单位或部门合作，根据当地指南促进非结核肺部疾病的诊断和护理。这包括了在该国卫生系统内获得呼吸量测定、药物和专科服务的诊断设备。NTP和MOH单位应承诺向受资助人提供结核病例通知和/或治疗成果数据，以及肺部状况的其他相关数据，以便促进对影响的衡量。</w:t>
      </w:r>
    </w:p>
    <w:p w14:paraId="08B67AA9" w14:textId="77777777">
      <w:pPr>
        <w:jc w:val="both"/>
        <w:rPr>
          <w:rFonts w:asciiTheme="minorHAnsi" w:hAnsiTheme="minorHAnsi" w:cstheme="minorHAnsi"/>
        </w:rPr>
      </w:pPr>
    </w:p>
    <w:p w14:paraId="5B8C5F8A" w14:textId="77777777">
      <w:pPr>
        <w:jc w:val="both"/>
        <w:rPr>
          <w:rFonts w:asciiTheme="minorHAnsi" w:hAnsiTheme="minorHAnsi" w:cstheme="minorHAnsi"/>
        </w:rPr>
        <w:pStyle w:val="P68B1DB1-Normal9"/>
      </w:pPr>
      <w:r>
        <w:t>在新冠肺炎疫情之后，许多国家动员了国内或捐赠资金来支持流行病的防范，包括对诊断能力及社区卫生计划等的的额外投入。此外，疫情期间建立的许多诊断平台依然可供使用。申请人应探讨国内的相关机会，利用此类现有计划，将相关资源用于结核病防治和肺部健康的促进。</w:t>
      </w:r>
    </w:p>
    <w:p w14:paraId="333A092D" w14:textId="77777777">
      <w:pPr>
        <w:jc w:val="both"/>
        <w:rPr>
          <w:rFonts w:asciiTheme="minorHAnsi" w:hAnsiTheme="minorHAnsi" w:cstheme="minorHAnsi"/>
        </w:rPr>
      </w:pPr>
    </w:p>
    <w:p w14:paraId="11C8A4F5" w14:textId="4C0AD482">
      <w:pPr>
        <w:jc w:val="both"/>
        <w:rPr>
          <w:rFonts w:asciiTheme="minorHAnsi" w:hAnsiTheme="minorHAnsi" w:cstheme="minorHAnsi"/>
        </w:rPr>
        <w:pStyle w:val="P68B1DB1-Normal9"/>
      </w:pPr>
      <w:r>
        <w:t xml:space="preserve">为了最大限度地将成功的TB REACH项目纳入其他资金流，我们有必要及早并持续地将此次Wave项目与NTP、MOH、当地的全球基金结核病机制以及实施者、当地专业协会以及其他机构联系起来。除了支持函之外，申请人</w:t>
      </w:r>
      <w:r>
        <w:rPr>
          <w:b/>
        </w:rPr>
        <w:t>必须</w:t>
      </w:r>
      <w:r>
        <w:t xml:space="preserve">展示他们将如何与其他当地合作伙伴（包括结核病项目）合作，提高相关干预措施在TB REACH资助结束后继续成功实施的潜力。我们鼓励申请人考虑将NTP参与的其他方法纳入作为资助活动的一部分，包括支持和监督项目；和/或与NTP、国家协调机制（CCM）及其他团体分享进展的例行会议。我们强烈鼓励受资助人与NTP分享其项目的中期成果，以提高其对项目进展的认识。最后，TB REACH将与合作伙伴协作，记录并传播从次次Wave项目的成果和汲取的经验教训，为国家和/或全球政策提供信息支持。</w:t>
      </w:r>
    </w:p>
    <w:p w14:paraId="547EC73B" w14:textId="596D1050">
      <w:pPr>
        <w:jc w:val="both"/>
        <w:rPr>
          <w:rFonts w:asciiTheme="minorHAnsi" w:hAnsiTheme="minorHAnsi" w:cstheme="minorHAnsi"/>
        </w:rPr>
      </w:pPr>
    </w:p>
    <w:p w14:paraId="1EAE1201" w14:textId="77777777">
      <w:pPr>
        <w:jc w:val="both"/>
        <w:rPr>
          <w:rFonts w:asciiTheme="minorHAnsi" w:hAnsiTheme="minorHAnsi" w:cstheme="minorHAnsi"/>
        </w:rPr>
      </w:pPr>
    </w:p>
    <w:p w14:paraId="3DF3C722" w14:textId="77777777">
      <w:pPr>
        <w:rPr>
          <w:rFonts w:asciiTheme="minorHAnsi" w:hAnsiTheme="minorHAnsi" w:cstheme="minorHAnsi"/>
          <w:b/>
        </w:rPr>
      </w:pPr>
    </w:p>
    <w:p w14:paraId="518F127D" w14:textId="77777777">
      <w:pPr>
        <w:pStyle w:val="ListParagraph"/>
        <w:ind w:left="1080" w:firstLine="0"/>
        <w:jc w:val="both"/>
        <w:rPr>
          <w:rFonts w:asciiTheme="minorHAnsi" w:hAnsiTheme="minorHAnsi" w:cstheme="minorHAnsi"/>
          <w:b/>
        </w:rPr>
      </w:pPr>
    </w:p>
    <w:p w14:paraId="3E46C0AC" w14:textId="77777777">
      <w:pPr>
        <w:pStyle w:val="ListParagraph"/>
        <w:ind w:left="1080" w:firstLine="0"/>
        <w:jc w:val="both"/>
        <w:rPr>
          <w:rFonts w:asciiTheme="minorHAnsi" w:hAnsiTheme="minorHAnsi" w:cstheme="minorHAnsi"/>
          <w:b/>
        </w:rPr>
      </w:pPr>
    </w:p>
    <w:p w14:paraId="47A1B839" w14:textId="27A75965">
      <w:pPr>
        <w:pStyle w:val="P68B1DB1-ListParagraph3"/>
        <w:numPr>
          <w:ilvl w:val="0"/>
          <w:numId w:val="14"/>
        </w:numPr>
        <w:jc w:val="both"/>
        <w:rPr>
          <w:rFonts w:asciiTheme="minorHAnsi" w:hAnsiTheme="minorHAnsi" w:cstheme="minorHAnsi"/>
          <w:b/>
          <w:sz w:val="28"/>
        </w:rPr>
      </w:pPr>
      <w:r>
        <w:t xml:space="preserve">Wave 11应用详情</w:t>
      </w:r>
    </w:p>
    <w:p w14:paraId="6AD366DA" w14:textId="5CFB689C">
      <w:pPr>
        <w:pStyle w:val="P68B1DB1-Heading113"/>
        <w:jc w:val="both"/>
        <w:rPr>
          <w:rFonts w:asciiTheme="minorHAnsi" w:hAnsiTheme="minorHAnsi" w:cstheme="minorHAnsi"/>
          <w:b/>
          <w:color w:val="000000" w:themeColor="text1"/>
          <w:sz w:val="24"/>
        </w:rPr>
      </w:pPr>
      <w:r>
        <w:t>项目期限</w:t>
      </w:r>
    </w:p>
    <w:p w14:paraId="4B1DB4AD" w14:textId="77777777">
      <w:pPr>
        <w:pStyle w:val="P68B1DB1-BodyText14"/>
        <w:spacing w:before="122"/>
        <w:jc w:val="both"/>
        <w:rPr>
          <w:rFonts w:asciiTheme="minorHAnsi" w:hAnsiTheme="minorHAnsi" w:cstheme="minorHAnsi"/>
        </w:rPr>
      </w:pPr>
      <w:r>
        <w:t xml:space="preserve">项目通常会持续18个月。 其中包括：</w:t>
      </w:r>
    </w:p>
    <w:p w14:paraId="4DA937E0" w14:textId="77777777">
      <w:pPr>
        <w:pStyle w:val="P68B1DB1-ListParagraph5"/>
        <w:numPr>
          <w:ilvl w:val="0"/>
          <w:numId w:val="6"/>
        </w:numPr>
        <w:tabs>
          <w:tab w:val="left" w:pos="820"/>
        </w:tabs>
        <w:spacing w:before="61"/>
        <w:ind w:left="820" w:hanging="280"/>
        <w:jc w:val="both"/>
        <w:rPr>
          <w:rFonts w:asciiTheme="minorHAnsi" w:hAnsiTheme="minorHAnsi" w:cstheme="minorHAnsi"/>
        </w:rPr>
      </w:pPr>
      <w:r>
        <w:t>最长3个月的规划和启动。</w:t>
      </w:r>
    </w:p>
    <w:p w14:paraId="6FD15CD8" w14:textId="77777777">
      <w:pPr>
        <w:pStyle w:val="P68B1DB1-ListParagraph5"/>
        <w:numPr>
          <w:ilvl w:val="0"/>
          <w:numId w:val="6"/>
        </w:numPr>
        <w:tabs>
          <w:tab w:val="left" w:pos="820"/>
        </w:tabs>
        <w:spacing w:before="60"/>
        <w:ind w:left="820" w:hanging="280"/>
        <w:jc w:val="both"/>
        <w:rPr>
          <w:rFonts w:asciiTheme="minorHAnsi" w:hAnsiTheme="minorHAnsi" w:cstheme="minorHAnsi"/>
        </w:rPr>
      </w:pPr>
      <w:r>
        <w:t>12个月的实施活动；以及</w:t>
      </w:r>
    </w:p>
    <w:p w14:paraId="4DE3CDD1" w14:textId="77777777">
      <w:pPr>
        <w:pStyle w:val="P68B1DB1-ListParagraph5"/>
        <w:numPr>
          <w:ilvl w:val="0"/>
          <w:numId w:val="6"/>
        </w:numPr>
        <w:tabs>
          <w:tab w:val="left" w:pos="821"/>
        </w:tabs>
        <w:spacing w:before="58"/>
        <w:ind w:right="117"/>
        <w:jc w:val="both"/>
        <w:rPr>
          <w:rFonts w:asciiTheme="minorHAnsi" w:hAnsiTheme="minorHAnsi" w:cstheme="minorHAnsi"/>
        </w:rPr>
      </w:pPr>
      <w:r>
        <w:t>3个月缓冲期，可用于继续活动（内置无成本延期）或用于项目停止活动，并支持报告、文件编织和成果传播。</w:t>
      </w:r>
    </w:p>
    <w:p w14:paraId="375BB4CD" w14:textId="77777777">
      <w:pPr>
        <w:pStyle w:val="P68B1DB1-Heading113"/>
        <w:jc w:val="both"/>
        <w:rPr>
          <w:rFonts w:asciiTheme="minorHAnsi" w:hAnsiTheme="minorHAnsi" w:cstheme="minorHAnsi"/>
          <w:b/>
          <w:color w:val="000000" w:themeColor="text1"/>
          <w:sz w:val="24"/>
        </w:rPr>
      </w:pPr>
      <w:r>
        <w:t>资助数值</w:t>
      </w:r>
    </w:p>
    <w:p w14:paraId="5433E933" w14:textId="77777777">
      <w:pPr>
        <w:pStyle w:val="P68B1DB1-BodyText14"/>
        <w:spacing w:before="159"/>
        <w:jc w:val="both"/>
        <w:rPr>
          <w:rFonts w:asciiTheme="minorHAnsi" w:hAnsiTheme="minorHAnsi" w:cstheme="minorHAnsi"/>
        </w:rPr>
      </w:pPr>
      <w:r>
        <w:t xml:space="preserve">Wave 11最高可申请55万美元拨款。</w:t>
      </w:r>
    </w:p>
    <w:p w14:paraId="6686235D" w14:textId="77777777">
      <w:pPr>
        <w:pStyle w:val="P68B1DB1-BodyText14"/>
        <w:spacing w:before="41"/>
        <w:ind w:right="148"/>
        <w:jc w:val="both"/>
        <w:rPr>
          <w:rFonts w:asciiTheme="minorHAnsi" w:hAnsiTheme="minorHAnsi" w:cstheme="minorHAnsi"/>
        </w:rPr>
      </w:pPr>
      <w:r>
        <w:t>项目应确保涵盖非结核疾病的检测、治疗和护理，最好与现有公共设施或私人设施挂钩，或通过实物形式或合作伙伴支持。</w:t>
      </w:r>
    </w:p>
    <w:p w14:paraId="25AD6797" w14:textId="182D5031">
      <w:pPr>
        <w:spacing w:after="120" w:line="276" w:lineRule="auto"/>
        <w:rPr>
          <w:rFonts w:asciiTheme="minorHAnsi" w:hAnsiTheme="minorHAnsi" w:cstheme="minorHAnsi"/>
          <w:color w:val="4472C4" w:themeColor="accent1"/>
        </w:rPr>
        <w:pStyle w:val="P68B1DB1-Normal9"/>
      </w:pPr>
      <w:r>
        <w:t>欲知预算编制详情，请参阅</w:t>
      </w:r>
      <w:r>
        <w:rPr>
          <w:color w:val="4472C4" w:themeColor="accent1"/>
          <w:highlight w:val="yellow"/>
        </w:rPr>
        <w:t xml:space="preserve">Wave 11预算和财务说明。</w:t>
      </w:r>
    </w:p>
    <w:p w14:paraId="43079ED2" w14:textId="77777777">
      <w:pPr>
        <w:pStyle w:val="BodyText"/>
        <w:spacing w:before="41"/>
        <w:ind w:right="148"/>
        <w:jc w:val="both"/>
        <w:rPr>
          <w:rFonts w:asciiTheme="minorHAnsi" w:hAnsiTheme="minorHAnsi" w:cstheme="minorHAnsi"/>
        </w:rPr>
      </w:pPr>
    </w:p>
    <w:p w14:paraId="31351EC0" w14:textId="77777777">
      <w:pPr>
        <w:pStyle w:val="Heading1"/>
        <w:jc w:val="both"/>
        <w:rPr>
          <w:rFonts w:asciiTheme="minorHAnsi" w:hAnsiTheme="minorHAnsi" w:cstheme="minorHAnsi"/>
          <w:b/>
          <w:color w:val="000000" w:themeColor="text1"/>
          <w:sz w:val="24"/>
        </w:rPr>
      </w:pPr>
    </w:p>
    <w:p w14:paraId="1664B7AE" w14:textId="468681FA">
      <w:pPr>
        <w:pStyle w:val="P68B1DB1-Heading113"/>
        <w:jc w:val="both"/>
        <w:rPr>
          <w:rFonts w:asciiTheme="minorHAnsi" w:hAnsiTheme="minorHAnsi" w:cstheme="minorHAnsi"/>
          <w:b/>
          <w:color w:val="000000" w:themeColor="text1"/>
          <w:sz w:val="24"/>
        </w:rPr>
      </w:pPr>
      <w:r>
        <w:t>资格条件</w:t>
      </w:r>
    </w:p>
    <w:p w14:paraId="30E75C70" w14:textId="77777777">
      <w:pPr>
        <w:spacing w:before="41"/>
        <w:jc w:val="both"/>
        <w:rPr>
          <w:rFonts w:asciiTheme="minorHAnsi" w:hAnsiTheme="minorHAnsi" w:cstheme="minorHAnsi"/>
          <w:i/>
        </w:rPr>
        <w:pStyle w:val="P68B1DB1-Normal15"/>
      </w:pPr>
      <w:r>
        <w:t>国家资格</w:t>
      </w:r>
    </w:p>
    <w:p w14:paraId="36D20071" w14:textId="77777777">
      <w:pPr>
        <w:pStyle w:val="P68B1DB1-BodyText14"/>
        <w:spacing w:before="161"/>
        <w:ind w:right="122"/>
        <w:jc w:val="both"/>
        <w:rPr>
          <w:rFonts w:asciiTheme="minorHAnsi" w:hAnsiTheme="minorHAnsi" w:cstheme="minorHAnsi"/>
        </w:rPr>
      </w:pPr>
      <w:r>
        <w:t>符合条件的国家/地区应符合下列一项或多项标准：</w:t>
      </w:r>
    </w:p>
    <w:p w14:paraId="3167BB07" w14:textId="77777777">
      <w:pPr>
        <w:pStyle w:val="ListParagraph"/>
        <w:widowControl/>
        <w:numPr>
          <w:ilvl w:val="0"/>
          <w:numId w:val="7"/>
        </w:numPr>
        <w:autoSpaceDE/>
        <w:autoSpaceDN/>
        <w:contextualSpacing/>
        <w:rPr>
          <w:rStyle w:val="normaltextrun"/>
          <w:rFonts w:asciiTheme="minorHAnsi" w:hAnsiTheme="minorHAnsi" w:cstheme="minorHAnsi"/>
        </w:rPr>
      </w:pPr>
      <w:r>
        <w:rPr>
          <w:rStyle w:val="normaltextrun"/>
          <w:rFonts w:asciiTheme="minorHAnsi" w:hAnsiTheme="minorHAnsi" w:cstheme="minorHAnsi"/>
        </w:rPr>
        <w:t>被世界银行列为低收入或中低收入经济体（2022年人均国民总收入低于4255美元）资料来源：（</w:t>
      </w:r>
      <w:hyperlink r:id="rId10" w:history="1">
        <w:r>
          <w:rPr>
            <w:rStyle w:val="Hyperlink"/>
            <w:rFonts w:asciiTheme="minorHAnsi" w:hAnsiTheme="minorHAnsi" w:cstheme="minorHAnsi"/>
          </w:rPr>
          <w:t xml:space="preserve"> https://datahelpdesk.worldbank.org/knowledgebase/articles/906519-world-bank-country-and-lending-groups</w:t>
        </w:r>
      </w:hyperlink>
      <w:r>
        <w:rPr>
          <w:rStyle w:val="Hyperlink"/>
          <w:rFonts w:asciiTheme="minorHAnsi" w:hAnsiTheme="minorHAnsi" w:cstheme="minorHAnsi"/>
        </w:rPr>
        <w:t>）</w:t>
      </w:r>
    </w:p>
    <w:p w14:paraId="737EDC6C" w14:textId="77777777">
      <w:pPr>
        <w:pStyle w:val="paragraph"/>
        <w:spacing w:before="0" w:beforeAutospacing="0" w:after="0" w:afterAutospacing="0"/>
        <w:ind w:left="360"/>
        <w:textAlignment w:val="baseline"/>
        <w:rPr>
          <w:rFonts w:asciiTheme="minorHAnsi" w:hAnsiTheme="minorHAnsi" w:cstheme="minorHAnsi"/>
          <w:sz w:val="22"/>
        </w:rPr>
      </w:pPr>
    </w:p>
    <w:p w14:paraId="64DB161D" w14:textId="77777777">
      <w:pPr>
        <w:pStyle w:val="paragraph"/>
        <w:numPr>
          <w:ilvl w:val="0"/>
          <w:numId w:val="7"/>
        </w:numPr>
        <w:spacing w:before="0" w:beforeAutospacing="0" w:after="0" w:afterAutospacing="0"/>
        <w:textAlignment w:val="baseline"/>
        <w:rPr>
          <w:rStyle w:val="normaltextrun"/>
          <w:rFonts w:asciiTheme="minorHAnsi" w:hAnsiTheme="minorHAnsi" w:cstheme="minorHAnsi"/>
          <w:sz w:val="22"/>
        </w:rPr>
      </w:pPr>
      <w:r>
        <w:rPr>
          <w:rStyle w:val="normaltextrun"/>
          <w:rFonts w:asciiTheme="minorHAnsi" w:hAnsiTheme="minorHAnsi" w:cstheme="minorHAnsi"/>
          <w:sz w:val="22"/>
        </w:rPr>
        <w:t>全国预估发病率超过每10万人100人（资料来源：《世界卫生组织全球结核病报告》）</w:t>
      </w:r>
    </w:p>
    <w:p w14:paraId="43EC528B" w14:textId="77777777">
      <w:pPr>
        <w:pStyle w:val="paragraph"/>
        <w:spacing w:before="0" w:beforeAutospacing="0" w:after="0" w:afterAutospacing="0"/>
        <w:textAlignment w:val="baseline"/>
        <w:rPr>
          <w:rStyle w:val="normaltextrun"/>
          <w:rFonts w:asciiTheme="minorHAnsi" w:hAnsiTheme="minorHAnsi" w:cstheme="minorHAnsi"/>
          <w:sz w:val="22"/>
        </w:rPr>
      </w:pPr>
    </w:p>
    <w:p w14:paraId="5C276993" w14:textId="77777777">
      <w:pPr>
        <w:pStyle w:val="paragraph"/>
        <w:numPr>
          <w:ilvl w:val="0"/>
          <w:numId w:val="7"/>
        </w:numPr>
        <w:spacing w:before="0" w:beforeAutospacing="0" w:after="0" w:afterAutospacing="0"/>
        <w:textAlignment w:val="baseline"/>
        <w:rPr>
          <w:rFonts w:asciiTheme="minorHAnsi" w:hAnsiTheme="minorHAnsi" w:cstheme="minorHAnsi" w:eastAsiaTheme="minorEastAsia"/>
          <w:sz w:val="22"/>
        </w:rPr>
      </w:pPr>
      <w:r>
        <w:rPr>
          <w:rStyle w:val="normaltextrun"/>
          <w:rFonts w:asciiTheme="minorHAnsi" w:hAnsiTheme="minorHAnsi" w:cstheme="minorHAnsi"/>
          <w:sz w:val="22"/>
        </w:rPr>
        <w:t>被列入世卫组织高结核病、结核病/艾滋病和/或耐多药（MDR-TB）负担国家名单。资料来源（世界卫生组织</w:t>
      </w:r>
      <w:hyperlink r:id="rId11">
        <w:r>
          <w:rPr>
            <w:rStyle w:val="Hyperlink"/>
            <w:rFonts w:asciiTheme="minorHAnsi" w:hAnsiTheme="minorHAnsi" w:cstheme="minorHAnsi" w:eastAsiaTheme="minorEastAsia"/>
            <w:sz w:val="22"/>
          </w:rPr>
          <w:t xml:space="preserve">https://cdn.who.int/media/docs/default-source/hq-tuberculosis/who_globalhbcliststb_2021-2025_backgrounddocument.pdf?sfvrsn = f6b854c2_9</w:t>
        </w:r>
      </w:hyperlink>
      <w:r>
        <w:rPr>
          <w:rStyle w:val="Hyperlink"/>
          <w:rFonts w:asciiTheme="minorHAnsi" w:hAnsiTheme="minorHAnsi" w:cstheme="minorHAnsi" w:eastAsiaTheme="minorEastAsia"/>
          <w:sz w:val="22"/>
        </w:rPr>
        <w:t>)</w:t>
      </w:r>
    </w:p>
    <w:p w14:paraId="6F0A0664" w14:textId="77777777">
      <w:pPr>
        <w:spacing w:before="1"/>
        <w:rPr>
          <w:rFonts w:asciiTheme="minorHAnsi" w:hAnsiTheme="minorHAnsi" w:cstheme="minorHAnsi"/>
        </w:rPr>
      </w:pPr>
    </w:p>
    <w:p w14:paraId="6EA409EF" w14:textId="77777777">
      <w:pPr>
        <w:spacing w:before="1"/>
        <w:rPr>
          <w:rFonts w:asciiTheme="minorHAnsi" w:hAnsiTheme="minorHAnsi" w:cstheme="minorHAnsi"/>
        </w:rPr>
        <w:pStyle w:val="P68B1DB1-Normal9"/>
      </w:pPr>
      <w:r>
        <w:rPr>
          <w:u w:val="single"/>
        </w:rPr>
        <w:t>符合条件的国家/地区列表</w:t>
      </w:r>
      <w:r>
        <w:t>：</w:t>
      </w:r>
    </w:p>
    <w:p w14:paraId="261E0D56" w14:textId="77777777">
      <w:pPr>
        <w:spacing w:before="1"/>
        <w:jc w:val="both"/>
        <w:rPr>
          <w:rFonts w:asciiTheme="minorHAnsi" w:hAnsiTheme="minorHAnsi" w:cstheme="minorHAnsi"/>
          <w:color w:val="000000"/>
          <w:shd w:val="clear" w:color="auto" w:fill="FFFFFF"/>
        </w:rPr>
      </w:pPr>
      <w:r>
        <w:rPr>
          <w:rStyle w:val="normaltextrun"/>
          <w:rFonts w:asciiTheme="minorHAnsi" w:hAnsiTheme="minorHAnsi" w:cstheme="minorHAnsi"/>
          <w:color w:val="000000"/>
          <w:shd w:val="clear" w:color="auto" w:fill="FFFFFF"/>
        </w:rPr>
        <w:t xml:space="preserve">阿富汗、阿尔及利亚、安哥拉、阿塞拜疆、孟加拉、白俄罗斯、贝宁、不丹、博茨瓦纳、玻利维亚、巴西、布隆迪、布基纳法索、佛得角、柬埔寨、喀麦隆、中非共和国、乍得、中国、刚果、科特迪瓦、科摩罗、朝鲜民主主义人民共和国、刚果民主共和国、吉布提、埃及、厄立特里亚、埃塞俄比亚、斯威士兰、赤道几内亚、冈比亚、加蓬、加纳、格陵兰、几内亚、几内亚比绍、海地、洪都拉斯、印度、印度尼西亚、伊朗、约旦、哈萨克斯坦、肯尼亚、基里巴斯、吉尔吉斯斯坦、老挝、黎巴嫩、莱索托、利比里亚、马达加斯加、马拉维、马里、马绍尔群岛、毛里塔尼亚、密克罗尼西亚、蒙古、摩洛哥、莫桑比克、缅甸、纳米比亚、尼泊尔、尼加拉瓜、尼日利亚、巴基斯坦、巴布亚新几内亚、秘鲁、菲律宾、摩尔多瓦共和国、瑙鲁、俄罗斯联邦、卢旺达、圣多美和普林西比、塞内加尔、索马里、塞拉利昂、所罗门群岛、南非、南苏丹、斯里兰卡、苏丹、阿拉伯叙利亚共和国、塔吉克斯坦、东帝汶、多哥、突尼斯、图瓦卢、泰国、乌干达、乌克兰、坦桑尼亚联合共和国、乌兹别克斯坦、瓦努阿图、越南、也门、赞比亚和津巴布韦。 </w:t>
      </w:r>
    </w:p>
    <w:p w14:paraId="69F26B4A" w14:textId="77777777">
      <w:pPr>
        <w:spacing w:before="1"/>
        <w:jc w:val="both"/>
        <w:rPr>
          <w:rStyle w:val="eop"/>
          <w:rFonts w:asciiTheme="minorHAnsi" w:hAnsiTheme="minorHAnsi" w:cstheme="minorHAnsi"/>
          <w:color w:val="000000" w:themeColor="text1"/>
        </w:rPr>
      </w:pPr>
    </w:p>
    <w:p w14:paraId="140AE7ED" w14:textId="77777777">
      <w:pPr>
        <w:jc w:val="both"/>
        <w:rPr>
          <w:rFonts w:asciiTheme="minorHAnsi" w:hAnsiTheme="minorHAnsi" w:cstheme="minorHAnsi"/>
        </w:rPr>
      </w:pPr>
    </w:p>
    <w:p w14:paraId="0170341C" w14:textId="77777777">
      <w:pPr>
        <w:jc w:val="both"/>
        <w:rPr>
          <w:rFonts w:asciiTheme="minorHAnsi" w:hAnsiTheme="minorHAnsi" w:cstheme="minorHAnsi"/>
          <w:i/>
        </w:rPr>
        <w:pStyle w:val="P68B1DB1-Normal15"/>
      </w:pPr>
      <w:r>
        <w:t>符合条件的实体</w:t>
      </w:r>
    </w:p>
    <w:p w14:paraId="710E4B4B" w14:textId="0EDDF4FE">
      <w:pPr>
        <w:pStyle w:val="P68B1DB1-BodyText14"/>
        <w:spacing w:before="161"/>
        <w:ind w:right="398"/>
        <w:jc w:val="both"/>
        <w:rPr>
          <w:rFonts w:asciiTheme="minorHAnsi" w:hAnsiTheme="minorHAnsi" w:cstheme="minorHAnsi"/>
        </w:rPr>
      </w:pPr>
      <w:r>
        <w:t xml:space="preserve">要成为TB REACH资金的主要受款人（PR），申请人必须是非政府、非营利组织或机构，且切实有实体在申请国提供服务。我们将优先考虑申请成为PR的地方非政府组织和机构。鼓励在适当情况下将政府组织（包括国家/地区层记得TB计划组织）列为申请的次级受款人（SR）。国际非政府组织应证明在申请国内具备实施服务交付干预的能力与实体，且有能力维持和扩大成功干预措施。接受多国应用申请。申请人可以递交多份资金申请，但每个PR在每个国家最多只能递交一份申请。</w:t>
      </w:r>
    </w:p>
    <w:p w14:paraId="377003B6" w14:textId="77777777">
      <w:pPr>
        <w:pStyle w:val="P68B1DB1-BodyText16"/>
        <w:spacing w:before="161"/>
        <w:ind w:right="398"/>
        <w:jc w:val="both"/>
        <w:rPr>
          <w:rFonts w:asciiTheme="minorHAnsi" w:hAnsiTheme="minorHAnsi" w:cstheme="minorHAnsi"/>
          <w:b/>
          <w:color w:val="000000" w:themeColor="text1"/>
          <w:sz w:val="24"/>
        </w:rPr>
      </w:pPr>
      <w:r>
        <w:t>遴选过程</w:t>
      </w:r>
    </w:p>
    <w:p w14:paraId="5F4B1B62" w14:textId="77777777">
      <w:pPr>
        <w:pStyle w:val="P68B1DB1-BodyText14"/>
        <w:spacing w:before="161"/>
        <w:jc w:val="both"/>
        <w:rPr>
          <w:rFonts w:asciiTheme="minorHAnsi" w:hAnsiTheme="minorHAnsi" w:cstheme="minorHAnsi"/>
        </w:rPr>
      </w:pPr>
      <w:r>
        <w:t xml:space="preserve">TB REACH计划的申请流程分为两个阶段。</w:t>
      </w:r>
    </w:p>
    <w:p w14:paraId="5F665644" w14:textId="77777777">
      <w:pPr>
        <w:pStyle w:val="BodyText"/>
        <w:spacing w:before="159"/>
        <w:ind w:right="122"/>
        <w:jc w:val="both"/>
        <w:rPr>
          <w:rFonts w:asciiTheme="minorHAnsi" w:hAnsiTheme="minorHAnsi" w:cstheme="minorHAnsi"/>
        </w:rPr>
      </w:pPr>
      <w:r>
        <w:rPr>
          <w:rFonts w:asciiTheme="minorHAnsi" w:hAnsiTheme="minorHAnsi" w:cstheme="minorHAnsi"/>
        </w:rPr>
        <w:t>第一阶段的申请主要侧重于提案概念和组织能力。在本阶段，将根据拟议活动与主题的一致性、组织能力和按</w:t>
      </w:r>
      <w:r>
        <w:rPr>
          <w:rStyle w:val="normaltextrun"/>
          <w:rFonts w:asciiTheme="minorHAnsi" w:hAnsiTheme="minorHAnsi" w:cstheme="minorHAnsi"/>
          <w:color w:val="000000"/>
        </w:rPr>
        <w:t>快速时间表</w:t>
      </w:r>
      <w:r>
        <w:rPr>
          <w:rFonts w:asciiTheme="minorHAnsi" w:hAnsiTheme="minorHAnsi" w:cstheme="minorHAnsi"/>
        </w:rPr>
        <w:t>交付拟议活动的跟踪记录对提案进行评估。</w:t>
      </w:r>
    </w:p>
    <w:p w14:paraId="74085C78" w14:textId="77777777">
      <w:pPr>
        <w:pStyle w:val="P68B1DB1-BodyText14"/>
        <w:spacing w:before="159"/>
        <w:ind w:right="122"/>
        <w:jc w:val="both"/>
        <w:rPr>
          <w:rFonts w:asciiTheme="minorHAnsi" w:hAnsiTheme="minorHAnsi" w:cstheme="minorHAnsi"/>
        </w:rPr>
      </w:pPr>
      <w:r>
        <w:t>在审查并选择第一阶段排名靠前的申请时，独立提案审查委员会（PRC）将具体评估以下领域：</w:t>
      </w:r>
    </w:p>
    <w:p w14:paraId="7FD06BC4" w14:textId="77777777">
      <w:pPr>
        <w:pStyle w:val="P68B1DB1-BodyText14"/>
        <w:numPr>
          <w:ilvl w:val="0"/>
          <w:numId w:val="11"/>
        </w:numPr>
        <w:ind w:right="122"/>
        <w:jc w:val="both"/>
        <w:rPr>
          <w:rFonts w:asciiTheme="minorHAnsi" w:hAnsiTheme="minorHAnsi" w:cstheme="minorHAnsi"/>
        </w:rPr>
      </w:pPr>
      <w:r>
        <w:t>背景/问题陈述</w:t>
      </w:r>
    </w:p>
    <w:p w14:paraId="79C327EC" w14:textId="77777777">
      <w:pPr>
        <w:pStyle w:val="P68B1DB1-BodyText14"/>
        <w:numPr>
          <w:ilvl w:val="0"/>
          <w:numId w:val="11"/>
        </w:numPr>
        <w:ind w:right="122"/>
        <w:jc w:val="both"/>
        <w:rPr>
          <w:rFonts w:asciiTheme="minorHAnsi" w:hAnsiTheme="minorHAnsi" w:cstheme="minorHAnsi"/>
        </w:rPr>
      </w:pPr>
      <w:r>
        <w:t xml:space="preserve">ISD模型描述 </w:t>
      </w:r>
    </w:p>
    <w:p w14:paraId="4EDF9453" w14:textId="77777777">
      <w:pPr>
        <w:pStyle w:val="P68B1DB1-BodyText14"/>
        <w:numPr>
          <w:ilvl w:val="0"/>
          <w:numId w:val="11"/>
        </w:numPr>
        <w:ind w:right="122"/>
        <w:jc w:val="both"/>
        <w:rPr>
          <w:rFonts w:asciiTheme="minorHAnsi" w:hAnsiTheme="minorHAnsi" w:cstheme="minorHAnsi"/>
        </w:rPr>
      </w:pPr>
      <w:r>
        <w:t>对强化卫生系统的贡献</w:t>
      </w:r>
    </w:p>
    <w:p w14:paraId="724A1D46" w14:textId="77777777">
      <w:pPr>
        <w:pStyle w:val="P68B1DB1-BodyText14"/>
        <w:numPr>
          <w:ilvl w:val="0"/>
          <w:numId w:val="11"/>
        </w:numPr>
        <w:ind w:right="122"/>
        <w:jc w:val="both"/>
        <w:rPr>
          <w:rFonts w:asciiTheme="minorHAnsi" w:hAnsiTheme="minorHAnsi" w:cstheme="minorHAnsi"/>
        </w:rPr>
      </w:pPr>
      <w:r>
        <w:t>创新（创新方法、独特整合、新团队或诊断）</w:t>
      </w:r>
    </w:p>
    <w:p w14:paraId="20520091" w14:textId="77777777">
      <w:pPr>
        <w:pStyle w:val="P68B1DB1-BodyText14"/>
        <w:numPr>
          <w:ilvl w:val="0"/>
          <w:numId w:val="11"/>
        </w:numPr>
        <w:ind w:right="122"/>
        <w:jc w:val="both"/>
        <w:rPr>
          <w:rFonts w:asciiTheme="minorHAnsi" w:hAnsiTheme="minorHAnsi" w:cstheme="minorHAnsi"/>
        </w:rPr>
      </w:pPr>
      <w:r>
        <w:t>促进性别平等的结核病干预措施</w:t>
      </w:r>
    </w:p>
    <w:p w14:paraId="04EC7101" w14:textId="77777777">
      <w:pPr>
        <w:pStyle w:val="P68B1DB1-BodyText14"/>
        <w:numPr>
          <w:ilvl w:val="0"/>
          <w:numId w:val="11"/>
        </w:numPr>
        <w:ind w:right="122"/>
        <w:jc w:val="both"/>
        <w:rPr>
          <w:rFonts w:asciiTheme="minorHAnsi" w:hAnsiTheme="minorHAnsi" w:cstheme="minorHAnsi"/>
        </w:rPr>
      </w:pPr>
      <w:r>
        <w:t>组织</w:t>
      </w:r>
      <w:r>
        <w:rPr>
          <w:u w:val="single"/>
        </w:rPr>
        <w:t>执行</w:t>
      </w:r>
      <w:r>
        <w:t>能力</w:t>
      </w:r>
    </w:p>
    <w:p w14:paraId="7DB7DAEC" w14:textId="77777777">
      <w:pPr>
        <w:pStyle w:val="BodyText"/>
        <w:ind w:right="122"/>
        <w:jc w:val="both"/>
        <w:rPr>
          <w:rFonts w:asciiTheme="minorHAnsi" w:hAnsiTheme="minorHAnsi" w:cstheme="minorHAnsi"/>
        </w:rPr>
      </w:pPr>
    </w:p>
    <w:p w14:paraId="11568C58" w14:textId="77777777">
      <w:pPr>
        <w:pStyle w:val="BodyText"/>
        <w:ind w:right="122"/>
        <w:jc w:val="both"/>
        <w:rPr>
          <w:rFonts w:asciiTheme="minorHAnsi" w:hAnsiTheme="minorHAnsi" w:cstheme="minorHAnsi"/>
        </w:rPr>
      </w:pPr>
      <w:r>
        <w:rPr>
          <w:rFonts w:asciiTheme="minorHAnsi" w:hAnsiTheme="minorHAnsi" w:cstheme="minorHAnsi"/>
        </w:rPr>
        <w:t>请注意，自我能力评估问卷的结果</w:t>
      </w:r>
      <w:r>
        <w:rPr>
          <w:rStyle w:val="normaltextrun"/>
          <w:rFonts w:asciiTheme="minorHAnsi" w:hAnsiTheme="minorHAnsi" w:cstheme="minorHAnsi"/>
          <w:color w:val="000000"/>
          <w:shd w:val="clear" w:color="auto" w:fill="FFFFFF"/>
        </w:rPr>
        <w:t xml:space="preserve">不会将任何申请人排除在甄选流程之外，也不属于甄选标准的一部分。 虽然我们不要求申请人提交证明文件，但我们鼓励申请人提供尽可能诚实并准确地回答。</w:t>
      </w:r>
    </w:p>
    <w:p w14:paraId="4052C224" w14:textId="77777777">
      <w:pPr>
        <w:pStyle w:val="P68B1DB1-BodyText14"/>
        <w:ind w:right="122"/>
        <w:jc w:val="both"/>
        <w:rPr>
          <w:rFonts w:asciiTheme="minorHAnsi" w:hAnsiTheme="minorHAnsi" w:cstheme="minorHAnsi"/>
        </w:rPr>
      </w:pPr>
      <w:r>
        <w:t xml:space="preserve">第一阶段被选中的申请将被邀请提交更详细、更全面的提案。 </w:t>
      </w:r>
    </w:p>
    <w:p w14:paraId="5401E5FB" w14:textId="6759EB03">
      <w:pPr>
        <w:pStyle w:val="BodyText"/>
        <w:spacing w:before="159"/>
        <w:ind w:right="122"/>
        <w:jc w:val="both"/>
        <w:rPr>
          <w:rFonts w:asciiTheme="minorHAnsi" w:hAnsiTheme="minorHAnsi" w:cstheme="minorHAnsi"/>
        </w:rPr>
      </w:pPr>
      <w:r>
        <w:rPr>
          <w:rFonts w:asciiTheme="minorHAnsi" w:hAnsiTheme="minorHAnsi" w:cstheme="minorHAnsi"/>
        </w:rPr>
        <w:t>第二阶段提案将更详细地介绍活动详情，包括目标、</w:t>
      </w:r>
      <w:r>
        <w:rPr>
          <w:rStyle w:val="normaltextrun"/>
          <w:rFonts w:asciiTheme="minorHAnsi" w:hAnsiTheme="minorHAnsi" w:cstheme="minorHAnsi"/>
          <w:color w:val="000000"/>
        </w:rPr>
        <w:t>影响评估的监测和评估框架、可扩展性</w:t>
      </w:r>
      <w:r>
        <w:rPr>
          <w:rFonts w:asciiTheme="minorHAnsi" w:hAnsiTheme="minorHAnsi" w:cstheme="minorHAnsi"/>
        </w:rPr>
        <w:t>和可能的实施研究。</w:t>
      </w:r>
    </w:p>
    <w:p w14:paraId="570D5020" w14:textId="319248DC">
      <w:pPr>
        <w:pStyle w:val="P68B1DB1-BodyText17"/>
        <w:spacing w:before="161"/>
        <w:ind w:right="398"/>
        <w:jc w:val="both"/>
        <w:rPr>
          <w:rFonts w:asciiTheme="minorHAnsi" w:hAnsiTheme="minorHAnsi" w:cstheme="minorHAnsi"/>
          <w:sz w:val="24"/>
        </w:rPr>
      </w:pPr>
      <w:r>
        <w:t xml:space="preserve">Wave 11关键日期时间线</w:t>
      </w:r>
    </w:p>
    <w:p w14:paraId="34C7C20E" w14:textId="77777777">
      <w:pPr>
        <w:pStyle w:val="P68B1DB1-BodyText14"/>
        <w:spacing w:before="121"/>
        <w:jc w:val="both"/>
        <w:rPr>
          <w:rFonts w:asciiTheme="minorHAnsi" w:hAnsiTheme="minorHAnsi" w:cstheme="minorHAnsi"/>
        </w:rPr>
      </w:pPr>
      <w:r>
        <w:t>2023年11月15日至2024年</w:t>
      </w:r>
      <w:r>
        <w:rPr>
          <w:i/>
        </w:rPr>
        <w:t xml:space="preserve"> 1月17日将开放第一阶段</w:t>
      </w:r>
      <w:r>
        <w:t>申请</w:t>
      </w:r>
    </w:p>
    <w:p w14:paraId="6E6C5FCF" w14:textId="77777777">
      <w:pPr>
        <w:pStyle w:val="P68B1DB1-BodyText14"/>
        <w:spacing w:before="41"/>
        <w:jc w:val="both"/>
        <w:rPr>
          <w:rFonts w:asciiTheme="minorHAnsi" w:hAnsiTheme="minorHAnsi" w:cstheme="minorHAnsi"/>
        </w:rPr>
      </w:pPr>
      <w:r>
        <w:t>2026年3月将向全体成功入选的第一阶段申请人公布</w:t>
      </w:r>
      <w:r>
        <w:rPr>
          <w:i/>
        </w:rPr>
        <w:t>第二阶段</w:t>
      </w:r>
      <w:r>
        <w:t>申请事宜</w:t>
      </w:r>
    </w:p>
    <w:p w14:paraId="4EA48867" w14:textId="77777777">
      <w:pPr>
        <w:pStyle w:val="BodyText"/>
        <w:spacing w:before="41"/>
        <w:jc w:val="both"/>
        <w:rPr>
          <w:rFonts w:asciiTheme="minorHAnsi" w:hAnsiTheme="minorHAnsi" w:cstheme="minorHAnsi"/>
        </w:rPr>
      </w:pPr>
    </w:p>
    <w:p w14:paraId="1911A92B" w14:textId="77777777">
      <w:pPr>
        <w:pStyle w:val="P68B1DB1-BodyText14"/>
        <w:spacing w:before="41"/>
        <w:jc w:val="both"/>
        <w:rPr>
          <w:rFonts w:asciiTheme="minorHAnsi" w:hAnsiTheme="minorHAnsi" w:cstheme="minorHAnsi"/>
        </w:rPr>
      </w:pPr>
      <w:r>
        <w:t>下文提供了更为详细的时间表。</w:t>
      </w:r>
    </w:p>
    <w:p w14:paraId="5593909D" w14:textId="77777777">
      <w:pPr>
        <w:pStyle w:val="P68B1DB1-BodyText14"/>
        <w:spacing w:before="41"/>
        <w:jc w:val="both"/>
        <w:rPr>
          <w:rFonts w:asciiTheme="minorHAnsi" w:hAnsiTheme="minorHAnsi" w:cstheme="minorHAnsi"/>
        </w:rPr>
      </w:pPr>
      <w:r>
        <w:drawing>
          <wp:inline distT="0" distB="0" distL="0" distR="0" wp14:anchorId="7E527CC9" wp14:editId="3D8A3231">
            <wp:extent cx="5727700" cy="1927223"/>
            <wp:effectExtent l="0" t="0" r="0" b="0"/>
            <wp:docPr id="2082010017" name="Picture 2082010017" descr="A close-up of a projec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042540" name="Picture 1" descr="A close-up of a project  Description automatically generated"/>
                    <pic:cNvPicPr/>
                  </pic:nvPicPr>
                  <pic:blipFill>
                    <a:blip r:embed="rId12"/>
                    <a:stretch>
                      <a:fillRect/>
                    </a:stretch>
                  </pic:blipFill>
                  <pic:spPr>
                    <a:xfrm>
                      <a:off x="0" y="0"/>
                      <a:ext cx="5727700" cy="1927223"/>
                    </a:xfrm>
                    <a:prstGeom prst="rect">
                      <a:avLst/>
                    </a:prstGeom>
                  </pic:spPr>
                </pic:pic>
              </a:graphicData>
            </a:graphic>
          </wp:inline>
        </w:drawing>
      </w:r>
    </w:p>
    <w:p w14:paraId="191FC781" w14:textId="77777777">
      <w:pPr>
        <w:pStyle w:val="P68B1DB1-BodyText18"/>
        <w:spacing w:before="161"/>
        <w:jc w:val="both"/>
        <w:rPr>
          <w:rFonts w:asciiTheme="minorHAnsi" w:hAnsiTheme="minorHAnsi" w:cstheme="minorHAnsi"/>
          <w:b/>
        </w:rPr>
      </w:pPr>
      <w:r>
        <w:t>所有提案均必须线上递交。</w:t>
      </w:r>
    </w:p>
    <w:p w14:paraId="73356BFD" w14:textId="61590275">
      <w:pPr>
        <w:pStyle w:val="P68B1DB1-BodyText14"/>
        <w:spacing w:before="161"/>
        <w:jc w:val="both"/>
        <w:rPr>
          <w:rFonts w:asciiTheme="minorHAnsi" w:hAnsiTheme="minorHAnsi" w:cstheme="minorHAnsi"/>
        </w:rPr>
      </w:pPr>
      <w:r>
        <w:t>可在</w:t>
      </w:r>
      <w:r>
        <w:rPr>
          <w:highlight w:val="yellow"/>
        </w:rPr>
        <w:t>此处</w:t>
      </w:r>
      <w:r>
        <w:t>查找线上申请表</w:t>
      </w:r>
    </w:p>
    <w:p w14:paraId="2E2F33F1" w14:textId="77777777">
      <w:pPr>
        <w:pStyle w:val="P68B1DB1-BodyText14"/>
        <w:spacing w:before="120"/>
        <w:ind w:right="122"/>
        <w:jc w:val="both"/>
        <w:rPr>
          <w:rFonts w:asciiTheme="minorHAnsi" w:hAnsiTheme="minorHAnsi" w:cstheme="minorHAnsi"/>
        </w:rPr>
      </w:pPr>
      <w:r>
        <w:t xml:space="preserve">遏制结核病伙伴关系由衷感谢加拿大全球事务部的持续支持，该事务部自2010年以来一直为TB REACH提供基础资金，同时支持了Wave 11项目。 美国国际开发署（USAID）、外交联邦和发展办公室（FCDO）以及比尔和梅琳达·盖特基金会为TB REACH提供了额外的慷慨支持。</w:t>
      </w:r>
    </w:p>
    <w:p w14:paraId="42A14D49" w14:textId="77777777">
      <w:pPr>
        <w:jc w:val="both"/>
        <w:rPr>
          <w:rFonts w:asciiTheme="minorHAnsi" w:hAnsiTheme="minorHAnsi" w:cstheme="minorHAnsi"/>
          <w:b/>
        </w:rPr>
      </w:pPr>
    </w:p>
    <w:p w14:paraId="044995B3" w14:textId="77777777">
      <w:pPr>
        <w:jc w:val="both"/>
        <w:rPr>
          <w:rFonts w:asciiTheme="minorHAnsi" w:hAnsiTheme="minorHAnsi" w:cstheme="minorHAnsi"/>
          <w:b/>
        </w:rPr>
      </w:pPr>
    </w:p>
    <w:p w14:paraId="31D0956B" w14:textId="77777777">
      <w:pPr>
        <w:jc w:val="both"/>
        <w:rPr>
          <w:rFonts w:asciiTheme="minorHAnsi" w:hAnsiTheme="minorHAnsi" w:cstheme="minorHAnsi"/>
          <w:b/>
        </w:rPr>
      </w:pPr>
    </w:p>
    <w:p w14:paraId="411EC6E1" w14:textId="28A61833">
      <w:pPr>
        <w:jc w:val="both"/>
        <w:rPr>
          <w:rFonts w:asciiTheme="minorHAnsi" w:hAnsiTheme="minorHAnsi" w:cstheme="minorHAnsi"/>
          <w:b/>
        </w:rPr>
        <w:pStyle w:val="P68B1DB1-Normal19"/>
      </w:pPr>
      <w:r>
        <w:t>关键资源文档</w:t>
      </w:r>
    </w:p>
    <w:p w14:paraId="54C08C04" w14:textId="77777777">
      <w:pPr>
        <w:pStyle w:val="P68B1DB1-ListParagraph5"/>
        <w:widowControl/>
        <w:numPr>
          <w:ilvl w:val="0"/>
          <w:numId w:val="10"/>
        </w:numPr>
        <w:autoSpaceDE/>
        <w:autoSpaceDN/>
        <w:contextualSpacing/>
        <w:rPr>
          <w:rFonts w:asciiTheme="minorHAnsi" w:hAnsiTheme="minorHAnsi" w:cstheme="minorHAnsi"/>
        </w:rPr>
      </w:pPr>
      <w:r>
        <w:t xml:space="preserve">Global Tuberculosis Report 2021. https://www.who.int/teams/global-tuberculosis-programme/tb-reports/global-tuberculosis-report-2021.</w:t>
      </w:r>
    </w:p>
    <w:p w14:paraId="79C84CF7" w14:textId="77777777">
      <w:pPr>
        <w:pStyle w:val="P68B1DB1-ListParagraph5"/>
        <w:widowControl/>
        <w:numPr>
          <w:ilvl w:val="0"/>
          <w:numId w:val="10"/>
        </w:numPr>
        <w:autoSpaceDE/>
        <w:autoSpaceDN/>
        <w:contextualSpacing/>
        <w:rPr>
          <w:rFonts w:asciiTheme="minorHAnsi" w:hAnsiTheme="minorHAnsi" w:cstheme="minorHAnsi"/>
        </w:rPr>
      </w:pPr>
      <w:r>
        <w:t xml:space="preserve">A vision for primary health care in the 21st century. https://www.who.int/publications-detail-redirect/WHO-HIS-SDS-2018.15.</w:t>
      </w:r>
    </w:p>
    <w:p w14:paraId="143DA5EE" w14:textId="77777777">
      <w:pPr>
        <w:pStyle w:val="P68B1DB1-ListParagraph5"/>
        <w:widowControl/>
        <w:numPr>
          <w:ilvl w:val="0"/>
          <w:numId w:val="10"/>
        </w:numPr>
        <w:autoSpaceDE/>
        <w:autoSpaceDN/>
        <w:contextualSpacing/>
        <w:rPr>
          <w:rFonts w:asciiTheme="minorHAnsi" w:hAnsiTheme="minorHAnsi" w:cstheme="minorHAnsi"/>
        </w:rPr>
      </w:pPr>
      <w:r>
        <w:t xml:space="preserve">Byrne, A. L., Marais, B. J., Mitnick, C. D., Lecca, L. &amp; Marks, G. B. Tuberculosis and chronic respiratory disease: a systematic review. Int J Infect Dis 32, 138–146 (2015).</w:t>
      </w:r>
    </w:p>
    <w:p w14:paraId="1C135B3A" w14:textId="77777777">
      <w:pPr>
        <w:pStyle w:val="P68B1DB1-ListParagraph5"/>
        <w:widowControl/>
        <w:numPr>
          <w:ilvl w:val="0"/>
          <w:numId w:val="10"/>
        </w:numPr>
        <w:autoSpaceDE/>
        <w:autoSpaceDN/>
        <w:contextualSpacing/>
        <w:rPr>
          <w:rFonts w:asciiTheme="minorHAnsi" w:hAnsiTheme="minorHAnsi" w:cstheme="minorHAnsi"/>
        </w:rPr>
      </w:pPr>
      <w:r>
        <w:t xml:space="preserve">Rossaki, F. M. et al. Strategies for the prevention, diagnosis and treatment of COPD in low- and middle- income countries: the importance of primary care. Expert Review of Respiratory Medicine 15, 1563–1577 (2021).</w:t>
      </w:r>
    </w:p>
    <w:p w14:paraId="2D9F89A7" w14:textId="77777777">
      <w:pPr>
        <w:pStyle w:val="P68B1DB1-ListParagraph5"/>
        <w:widowControl/>
        <w:numPr>
          <w:ilvl w:val="0"/>
          <w:numId w:val="10"/>
        </w:numPr>
        <w:autoSpaceDE/>
        <w:autoSpaceDN/>
        <w:contextualSpacing/>
        <w:rPr>
          <w:rFonts w:asciiTheme="minorHAnsi" w:hAnsiTheme="minorHAnsi" w:cstheme="minorHAnsi"/>
        </w:rPr>
      </w:pPr>
      <w:r>
        <w:t xml:space="preserve">Meghji, J. et al. Improving lung health in low-income and middle-income countries: from challenges to solutions. The Lancet 397, 928–940 (2021).</w:t>
      </w:r>
    </w:p>
    <w:p w14:paraId="5C708D61" w14:textId="77777777">
      <w:pPr>
        <w:pStyle w:val="P68B1DB1-Bibliography20"/>
        <w:widowControl/>
        <w:numPr>
          <w:ilvl w:val="0"/>
          <w:numId w:val="10"/>
        </w:numPr>
        <w:autoSpaceDE/>
        <w:autoSpaceDN/>
        <w:rPr>
          <w:rFonts w:asciiTheme="minorHAnsi" w:hAnsiTheme="minorHAnsi" w:cstheme="minorHAnsi"/>
        </w:rPr>
      </w:pPr>
      <w:r>
        <w:t xml:space="preserve">Foo, C. De </w:t>
      </w:r>
      <w:r>
        <w:rPr>
          <w:i/>
        </w:rPr>
        <w:t xml:space="preserve">et al.</w:t>
      </w:r>
      <w:r>
        <w:t xml:space="preserve"> </w:t>
      </w:r>
      <w:r>
        <w:rPr>
          <w:i/>
        </w:rPr>
        <w:t xml:space="preserve">Integrating tuberculosis and noncommunicable diseases care in low- and middle-income countries (LMICs): A systematic review</w:t>
      </w:r>
      <w:r>
        <w:t xml:space="preserve">. </w:t>
      </w:r>
      <w:r>
        <w:rPr>
          <w:i/>
        </w:rPr>
        <w:t xml:space="preserve">PLOS Medicine</w:t>
      </w:r>
      <w:r>
        <w:t xml:space="preserve"> vol. 19 (2022).</w:t>
      </w:r>
    </w:p>
    <w:p w14:paraId="64ECA78A" w14:textId="77777777">
      <w:pPr>
        <w:pStyle w:val="P68B1DB1-Bibliography20"/>
        <w:widowControl/>
        <w:numPr>
          <w:ilvl w:val="0"/>
          <w:numId w:val="10"/>
        </w:numPr>
        <w:autoSpaceDE/>
        <w:autoSpaceDN/>
        <w:rPr>
          <w:rFonts w:asciiTheme="minorHAnsi" w:hAnsiTheme="minorHAnsi" w:cstheme="minorHAnsi"/>
        </w:rPr>
      </w:pPr>
      <w:r>
        <w:t xml:space="preserve">Hamzaoui, A. &amp; Ottmani, S. Practical approach to lung health: lung health for everyone? </w:t>
      </w:r>
      <w:r>
        <w:rPr>
          <w:i/>
        </w:rPr>
        <w:t xml:space="preserve">Eur Respir Rev</w:t>
      </w:r>
      <w:r>
        <w:t xml:space="preserve"> </w:t>
      </w:r>
      <w:r>
        <w:rPr>
          <w:b/>
        </w:rPr>
        <w:t>21</w:t>
      </w:r>
      <w:r>
        <w:t xml:space="preserve">, 186–195 (2012).</w:t>
      </w:r>
    </w:p>
    <w:p w14:paraId="65E44926" w14:textId="77777777">
      <w:pPr>
        <w:pStyle w:val="ListParagraph"/>
        <w:widowControl/>
        <w:numPr>
          <w:ilvl w:val="0"/>
          <w:numId w:val="10"/>
        </w:numPr>
        <w:autoSpaceDE/>
        <w:autoSpaceDN/>
        <w:contextualSpacing/>
        <w:rPr>
          <w:rFonts w:asciiTheme="minorHAnsi" w:hAnsiTheme="minorHAnsi" w:cstheme="minorHAnsi"/>
        </w:rPr>
      </w:pPr>
      <w:r>
        <w:rPr>
          <w:rFonts w:asciiTheme="minorHAnsi" w:hAnsiTheme="minorHAnsi" w:cstheme="minorHAnsi"/>
        </w:rPr>
        <w:t xml:space="preserve">Stop TB Partnership | TB REACH - Wave 7. </w:t>
      </w:r>
      <w:hyperlink r:id="rId13" w:history="1">
        <w:r>
          <w:rPr>
            <w:rStyle w:val="Hyperlink"/>
            <w:rFonts w:asciiTheme="minorHAnsi" w:hAnsiTheme="minorHAnsi" w:cstheme="minorHAnsi"/>
          </w:rPr>
          <w:t>https://stoptb.org/global/awards/tbreach/wave7GenderPaper.asp</w:t>
        </w:r>
      </w:hyperlink>
      <w:r>
        <w:rPr>
          <w:rFonts w:asciiTheme="minorHAnsi" w:hAnsiTheme="minorHAnsi" w:cstheme="minorHAnsi"/>
        </w:rPr>
        <w:t>.</w:t>
      </w:r>
    </w:p>
    <w:p w14:paraId="01D725DA" w14:textId="77777777">
      <w:pPr>
        <w:pStyle w:val="ListParagraph"/>
        <w:ind w:left="1080"/>
        <w:rPr>
          <w:rFonts w:asciiTheme="minorHAnsi" w:hAnsiTheme="minorHAnsi" w:cstheme="minorHAnsi"/>
        </w:rPr>
      </w:pPr>
    </w:p>
    <w:p w14:paraId="35D3D704" w14:textId="77777777">
      <w:pPr>
        <w:rPr>
          <w:rFonts w:asciiTheme="minorHAnsi" w:hAnsiTheme="minorHAnsi" w:cstheme="minorHAnsi"/>
        </w:rPr>
      </w:pPr>
    </w:p>
    <w:p w14:paraId="1AEC7E7D" w14:textId="77777777">
      <w:pPr>
        <w:jc w:val="both"/>
        <w:rPr>
          <w:rFonts w:asciiTheme="minorHAnsi" w:hAnsiTheme="minorHAnsi" w:cstheme="minorHAnsi"/>
          <w:b/>
        </w:rPr>
      </w:pPr>
    </w:p>
    <w:p w14:paraId="1923D66E" w14:textId="77777777">
      <w:pPr>
        <w:rPr>
          <w:rFonts w:asciiTheme="minorHAnsi" w:hAnsiTheme="minorHAnsi" w:cstheme="minorHAnsi"/>
        </w:rPr>
      </w:pPr>
    </w:p>
    <w:sectPr>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A9C0D" w14:textId="77777777">
      <w:r>
        <w:separator/>
      </w:r>
    </w:p>
  </w:endnote>
  <w:endnote w:type="continuationSeparator" w:id="0">
    <w:p w14:paraId="6E00A8E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rlito">
    <w:altName w:val="Calibri"/>
    <w:panose1 w:val="020B0604020202020204"/>
    <w:charset w:val="00"/>
    <w:family w:val="swiss"/>
    <w:pitch w:val="variable"/>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5098638"/>
      <w:docPartObj>
        <w:docPartGallery w:val="Page Numbers (Bottom of Page)"/>
        <w:docPartUnique/>
      </w:docPartObj>
    </w:sdtPr>
    <w:sdtEndPr>
      <w:rPr>
        <w:noProof/>
      </w:rPr>
    </w:sdtEndPr>
    <w:sdtContent>
      <w:p w14:paraId="2DA398DF" w14:textId="5AB66BC9">
        <w:pPr>
          <w:pStyle w:val="Footer"/>
          <w:jc w:val="right"/>
        </w:pPr>
        <w:r>
          <w:fldChar w:fldCharType="begin"/>
        </w:r>
        <w:r>
          <w:instrText xml:space="preserve"> PAGE   \* MERGEFORMAT </w:instrText>
        </w:r>
        <w:r>
          <w:fldChar w:fldCharType="separate"/>
        </w:r>
        <w:r>
          <w:rPr/>
          <w:t>2</w:t>
        </w:r>
        <w:r>
          <w:rPr/>
          <w:fldChar w:fldCharType="end"/>
        </w:r>
      </w:p>
    </w:sdtContent>
  </w:sdt>
  <w:p w14:paraId="2C5726F3"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1D46B" w14:textId="77777777">
      <w:r>
        <w:separator/>
      </w:r>
    </w:p>
  </w:footnote>
  <w:footnote w:type="continuationSeparator" w:id="0">
    <w:p w14:paraId="25B7D985" w14:textId="77777777">
      <w:r>
        <w:continuationSeparator/>
      </w:r>
    </w:p>
  </w:footnote>
  <w:footnote w:id="1">
    <w:p w14:paraId="79B44F59" w14:textId="77777777">
      <w:pPr>
        <w:pStyle w:val="FootnoteText"/>
        <w:rPr>
          <w:sz w:val="18"/>
        </w:rPr>
      </w:pPr>
      <w:r>
        <w:rPr>
          <w:rStyle w:val="FootnoteReference"/>
        </w:rPr>
        <w:footnoteRef/>
      </w:r>
      <w:r>
        <w:rPr>
          <w:sz w:val="18"/>
        </w:rPr>
        <w:t xml:space="preserve"> </w:t>
      </w:r>
      <w:r>
        <w:rPr>
          <w:rFonts w:cstheme="minorHAnsi"/>
          <w:sz w:val="18"/>
        </w:rPr>
        <w:t xml:space="preserve">The 5 PHC pillars include i) </w:t>
      </w:r>
      <w:r>
        <w:rPr>
          <w:rFonts w:cstheme="minorHAnsi"/>
          <w:b/>
          <w:sz w:val="18"/>
        </w:rPr>
        <w:t xml:space="preserve">first Contact</w:t>
      </w:r>
      <w:r>
        <w:rPr>
          <w:rFonts w:cstheme="minorHAnsi"/>
          <w:sz w:val="18"/>
        </w:rPr>
        <w:t xml:space="preserve"> with the health system, ii) </w:t>
      </w:r>
      <w:r>
        <w:rPr>
          <w:rFonts w:cstheme="minorHAnsi"/>
          <w:b/>
          <w:sz w:val="18"/>
        </w:rPr>
        <w:t xml:space="preserve">Comprehensive </w:t>
      </w:r>
      <w:r>
        <w:rPr>
          <w:rFonts w:cstheme="minorHAnsi"/>
          <w:sz w:val="18"/>
        </w:rPr>
        <w:t xml:space="preserve">interventions, iii) </w:t>
      </w:r>
      <w:r>
        <w:rPr>
          <w:rFonts w:cstheme="minorHAnsi"/>
          <w:b/>
          <w:sz w:val="18"/>
        </w:rPr>
        <w:t>Coordinated</w:t>
      </w:r>
      <w:r>
        <w:rPr>
          <w:rFonts w:cstheme="minorHAnsi"/>
          <w:sz w:val="18"/>
        </w:rPr>
        <w:t xml:space="preserve"> and integrated service delivery iv) </w:t>
      </w:r>
      <w:r>
        <w:rPr>
          <w:rFonts w:cstheme="minorHAnsi"/>
          <w:b/>
          <w:sz w:val="18"/>
        </w:rPr>
        <w:t xml:space="preserve">Continuity </w:t>
      </w:r>
      <w:r>
        <w:rPr>
          <w:rFonts w:cstheme="minorHAnsi"/>
          <w:sz w:val="18"/>
        </w:rPr>
        <w:t xml:space="preserve">of care v) </w:t>
      </w:r>
      <w:r>
        <w:rPr>
          <w:rFonts w:cstheme="minorHAnsi"/>
          <w:b/>
          <w:sz w:val="18"/>
        </w:rPr>
        <w:t>Person-Centred</w:t>
      </w:r>
      <w:r>
        <w:rPr>
          <w:rFonts w:cstheme="minorHAnsi"/>
          <w:sz w:val="18"/>
        </w:rPr>
        <w:t xml:space="preserve"> care</w:t>
      </w:r>
      <w:r>
        <w:rPr>
          <w:rFonts w:cstheme="minorHAnsi"/>
          <w:sz w:val="18"/>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56D72" w14:textId="77777777">
    <w:pPr>
      <w:pStyle w:val="BodyText"/>
      <w:spacing w:line="14" w:lineRule="auto"/>
      <w:rPr>
        <w:sz w:val="20"/>
      </w:rPr>
    </w:pPr>
    <w:r>
      <w:drawing>
        <wp:anchor distT="0" distB="0" distL="0" distR="0" simplePos="0" relativeHeight="251659264" behindDoc="1" locked="0" layoutInCell="1" allowOverlap="1" wp14:anchorId="6C1485A1" wp14:editId="6A5772D0">
          <wp:simplePos x="0" y="0"/>
          <wp:positionH relativeFrom="page">
            <wp:posOffset>788669</wp:posOffset>
          </wp:positionH>
          <wp:positionV relativeFrom="page">
            <wp:posOffset>449579</wp:posOffset>
          </wp:positionV>
          <wp:extent cx="1678813" cy="431800"/>
          <wp:effectExtent l="0" t="0" r="0" b="0"/>
          <wp:wrapNone/>
          <wp:docPr id="14" name="image1.jpeg" descr="A picture containing text, clipar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jpeg" descr="A picture containing text, clipart  Description automatically generated"/>
                  <pic:cNvPicPr/>
                </pic:nvPicPr>
                <pic:blipFill>
                  <a:blip r:embed="rId1" cstate="print"/>
                  <a:stretch>
                    <a:fillRect/>
                  </a:stretch>
                </pic:blipFill>
                <pic:spPr>
                  <a:xfrm>
                    <a:off x="0" y="0"/>
                    <a:ext cx="1678813" cy="431800"/>
                  </a:xfrm>
                  <a:prstGeom prst="rect">
                    <a:avLst/>
                  </a:prstGeom>
                </pic:spPr>
              </pic:pic>
            </a:graphicData>
          </a:graphic>
        </wp:anchor>
      </w:drawing>
      <w:drawing>
        <wp:anchor distT="0" distB="0" distL="0" distR="0" simplePos="0" relativeHeight="251660288" behindDoc="1" locked="0" layoutInCell="1" allowOverlap="1" wp14:anchorId="37DC832F" wp14:editId="21A171F3">
          <wp:simplePos x="0" y="0"/>
          <wp:positionH relativeFrom="page">
            <wp:posOffset>2675889</wp:posOffset>
          </wp:positionH>
          <wp:positionV relativeFrom="page">
            <wp:posOffset>569848</wp:posOffset>
          </wp:positionV>
          <wp:extent cx="570102" cy="197484"/>
          <wp:effectExtent l="0" t="0" r="0" b="0"/>
          <wp:wrapNone/>
          <wp:docPr id="1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570102" cy="197484"/>
                  </a:xfrm>
                  <a:prstGeom prst="rect">
                    <a:avLst/>
                  </a:prstGeom>
                </pic:spPr>
              </pic:pic>
            </a:graphicData>
          </a:graphic>
        </wp:anchor>
      </w:drawing>
      <w:drawing>
        <wp:anchor distT="0" distB="0" distL="0" distR="0" simplePos="0" relativeHeight="251661312" behindDoc="1" locked="0" layoutInCell="1" allowOverlap="1" wp14:anchorId="499D42E1" wp14:editId="311B9625">
          <wp:simplePos x="0" y="0"/>
          <wp:positionH relativeFrom="page">
            <wp:posOffset>6272221</wp:posOffset>
          </wp:positionH>
          <wp:positionV relativeFrom="page">
            <wp:posOffset>574513</wp:posOffset>
          </wp:positionV>
          <wp:extent cx="488460" cy="197374"/>
          <wp:effectExtent l="0" t="0" r="0" b="0"/>
          <wp:wrapNone/>
          <wp:docPr id="16"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3" cstate="print"/>
                  <a:stretch>
                    <a:fillRect/>
                  </a:stretch>
                </pic:blipFill>
                <pic:spPr>
                  <a:xfrm>
                    <a:off x="0" y="0"/>
                    <a:ext cx="488460" cy="197374"/>
                  </a:xfrm>
                  <a:prstGeom prst="rect">
                    <a:avLst/>
                  </a:prstGeom>
                </pic:spPr>
              </pic:pic>
            </a:graphicData>
          </a:graphic>
        </wp:anchor>
      </w:drawing>
    </w:r>
  </w:p>
  <w:p w14:paraId="236FDA4A"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63D30"/>
    <w:multiLevelType w:val="hybridMultilevel"/>
    <w:tmpl w:val="49768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132F37"/>
    <w:multiLevelType w:val="multilevel"/>
    <w:tmpl w:val="0B54FCFA"/>
    <w:lvl w:ilvl="0">
      <w:start w:val="1"/>
      <w:numFmt w:val="bullet"/>
      <w:lvlText w:val=""/>
      <w:lvlJc w:val="left"/>
      <w:pPr>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 w15:restartNumberingAfterBreak="0">
    <w:nsid w:val="08E749FC"/>
    <w:multiLevelType w:val="hybridMultilevel"/>
    <w:tmpl w:val="51464C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4A041E"/>
    <w:multiLevelType w:val="hybridMultilevel"/>
    <w:tmpl w:val="69C64A56"/>
    <w:lvl w:ilvl="0" w:tplc="E9143F0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621815"/>
    <w:multiLevelType w:val="hybridMultilevel"/>
    <w:tmpl w:val="19E23B78"/>
    <w:lvl w:ilvl="0" w:tplc="E112086C">
      <w:numFmt w:val="bullet"/>
      <w:lvlText w:val=""/>
      <w:lvlJc w:val="left"/>
      <w:pPr>
        <w:ind w:left="821" w:hanging="281"/>
      </w:pPr>
      <w:rPr>
        <w:rFonts w:ascii="Symbol" w:eastAsia="Symbol" w:hAnsi="Symbol" w:cs="Symbol" w:hint="default"/>
        <w:b w:val="0"/>
        <w:bCs w:val="0"/>
        <w:i w:val="0"/>
        <w:iCs w:val="0"/>
        <w:spacing w:val="0"/>
        <w:w w:val="100"/>
        <w:sz w:val="22"/>
        <w:szCs w:val="22"/>
        <w:lang w:val="en-US" w:eastAsia="en-US" w:bidi="ar-SA"/>
      </w:rPr>
    </w:lvl>
    <w:lvl w:ilvl="1" w:tplc="65723CA6">
      <w:numFmt w:val="bullet"/>
      <w:lvlText w:val="•"/>
      <w:lvlJc w:val="left"/>
      <w:pPr>
        <w:ind w:left="1724" w:hanging="281"/>
      </w:pPr>
      <w:rPr>
        <w:rFonts w:hint="default"/>
        <w:lang w:val="en-US" w:eastAsia="en-US" w:bidi="ar-SA"/>
      </w:rPr>
    </w:lvl>
    <w:lvl w:ilvl="2" w:tplc="08A86C42">
      <w:numFmt w:val="bullet"/>
      <w:lvlText w:val="•"/>
      <w:lvlJc w:val="left"/>
      <w:pPr>
        <w:ind w:left="2629" w:hanging="281"/>
      </w:pPr>
      <w:rPr>
        <w:rFonts w:hint="default"/>
        <w:lang w:val="en-US" w:eastAsia="en-US" w:bidi="ar-SA"/>
      </w:rPr>
    </w:lvl>
    <w:lvl w:ilvl="3" w:tplc="9AB46C34">
      <w:numFmt w:val="bullet"/>
      <w:lvlText w:val="•"/>
      <w:lvlJc w:val="left"/>
      <w:pPr>
        <w:ind w:left="3533" w:hanging="281"/>
      </w:pPr>
      <w:rPr>
        <w:rFonts w:hint="default"/>
        <w:lang w:val="en-US" w:eastAsia="en-US" w:bidi="ar-SA"/>
      </w:rPr>
    </w:lvl>
    <w:lvl w:ilvl="4" w:tplc="8CB8F1BE">
      <w:numFmt w:val="bullet"/>
      <w:lvlText w:val="•"/>
      <w:lvlJc w:val="left"/>
      <w:pPr>
        <w:ind w:left="4438" w:hanging="281"/>
      </w:pPr>
      <w:rPr>
        <w:rFonts w:hint="default"/>
        <w:lang w:val="en-US" w:eastAsia="en-US" w:bidi="ar-SA"/>
      </w:rPr>
    </w:lvl>
    <w:lvl w:ilvl="5" w:tplc="90BE3C86">
      <w:numFmt w:val="bullet"/>
      <w:lvlText w:val="•"/>
      <w:lvlJc w:val="left"/>
      <w:pPr>
        <w:ind w:left="5343" w:hanging="281"/>
      </w:pPr>
      <w:rPr>
        <w:rFonts w:hint="default"/>
        <w:lang w:val="en-US" w:eastAsia="en-US" w:bidi="ar-SA"/>
      </w:rPr>
    </w:lvl>
    <w:lvl w:ilvl="6" w:tplc="4E86EE62">
      <w:numFmt w:val="bullet"/>
      <w:lvlText w:val="•"/>
      <w:lvlJc w:val="left"/>
      <w:pPr>
        <w:ind w:left="6247" w:hanging="281"/>
      </w:pPr>
      <w:rPr>
        <w:rFonts w:hint="default"/>
        <w:lang w:val="en-US" w:eastAsia="en-US" w:bidi="ar-SA"/>
      </w:rPr>
    </w:lvl>
    <w:lvl w:ilvl="7" w:tplc="E324726C">
      <w:numFmt w:val="bullet"/>
      <w:lvlText w:val="•"/>
      <w:lvlJc w:val="left"/>
      <w:pPr>
        <w:ind w:left="7152" w:hanging="281"/>
      </w:pPr>
      <w:rPr>
        <w:rFonts w:hint="default"/>
        <w:lang w:val="en-US" w:eastAsia="en-US" w:bidi="ar-SA"/>
      </w:rPr>
    </w:lvl>
    <w:lvl w:ilvl="8" w:tplc="2CC615A4">
      <w:numFmt w:val="bullet"/>
      <w:lvlText w:val="•"/>
      <w:lvlJc w:val="left"/>
      <w:pPr>
        <w:ind w:left="8057" w:hanging="281"/>
      </w:pPr>
      <w:rPr>
        <w:rFonts w:hint="default"/>
        <w:lang w:val="en-US" w:eastAsia="en-US" w:bidi="ar-SA"/>
      </w:rPr>
    </w:lvl>
  </w:abstractNum>
  <w:abstractNum w:abstractNumId="5" w15:restartNumberingAfterBreak="0">
    <w:nsid w:val="39B8161D"/>
    <w:multiLevelType w:val="hybridMultilevel"/>
    <w:tmpl w:val="6C8CA3FA"/>
    <w:lvl w:ilvl="0" w:tplc="20000001">
      <w:start w:val="1"/>
      <w:numFmt w:val="bullet"/>
      <w:lvlText w:val=""/>
      <w:lvlJc w:val="left"/>
      <w:pPr>
        <w:ind w:left="720" w:hanging="360"/>
      </w:pPr>
      <w:rPr>
        <w:rFonts w:ascii="Symbol" w:hAnsi="Symbol" w:hint="default"/>
      </w:rPr>
    </w:lvl>
    <w:lvl w:ilvl="1" w:tplc="3A16B7CC">
      <w:numFmt w:val="bullet"/>
      <w:lvlText w:val="-"/>
      <w:lvlJc w:val="left"/>
      <w:pPr>
        <w:ind w:left="1440" w:hanging="360"/>
      </w:pPr>
      <w:rPr>
        <w:rFonts w:ascii="Carlito" w:eastAsia="Calibri" w:hAnsi="Carlito" w:cs="Carlito"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1F36F0"/>
    <w:multiLevelType w:val="hybridMultilevel"/>
    <w:tmpl w:val="CBDAE4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661401"/>
    <w:multiLevelType w:val="hybridMultilevel"/>
    <w:tmpl w:val="34D4F39C"/>
    <w:lvl w:ilvl="0" w:tplc="20000001">
      <w:start w:val="1"/>
      <w:numFmt w:val="bullet"/>
      <w:lvlText w:val=""/>
      <w:lvlJc w:val="left"/>
      <w:pPr>
        <w:ind w:left="720" w:hanging="360"/>
      </w:pPr>
      <w:rPr>
        <w:rFonts w:ascii="Symbol" w:hAnsi="Symbol" w:hint="default"/>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F357125"/>
    <w:multiLevelType w:val="hybridMultilevel"/>
    <w:tmpl w:val="788CFB50"/>
    <w:lvl w:ilvl="0" w:tplc="FCD6231E">
      <w:start w:val="2"/>
      <w:numFmt w:val="bullet"/>
      <w:lvlText w:val="-"/>
      <w:lvlJc w:val="left"/>
      <w:pPr>
        <w:ind w:left="1080" w:hanging="360"/>
      </w:pPr>
      <w:rPr>
        <w:rFonts w:ascii="Calibri" w:eastAsia="Arial" w:hAnsi="Calibri" w:cs="Calibri"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9" w15:restartNumberingAfterBreak="0">
    <w:nsid w:val="56930385"/>
    <w:multiLevelType w:val="hybridMultilevel"/>
    <w:tmpl w:val="6748BA44"/>
    <w:lvl w:ilvl="0" w:tplc="A2AC3B1A">
      <w:start w:val="1"/>
      <w:numFmt w:val="decimal"/>
      <w:lvlText w:val="%1."/>
      <w:lvlJc w:val="left"/>
      <w:pPr>
        <w:ind w:left="1080" w:hanging="72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B087A57"/>
    <w:multiLevelType w:val="hybridMultilevel"/>
    <w:tmpl w:val="AE6A9476"/>
    <w:lvl w:ilvl="0" w:tplc="0C3A67B2">
      <w:start w:val="1"/>
      <w:numFmt w:val="lowerRoman"/>
      <w:lvlText w:val="%1."/>
      <w:lvlJc w:val="left"/>
      <w:pPr>
        <w:ind w:left="1080" w:hanging="720"/>
      </w:pPr>
      <w:rPr>
        <w:rFonts w:eastAsia="Arial" w:cs="Arial" w:hint="default"/>
        <w:color w:val="D40031"/>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A60439C"/>
    <w:multiLevelType w:val="hybridMultilevel"/>
    <w:tmpl w:val="47DAC3AC"/>
    <w:lvl w:ilvl="0" w:tplc="FFFFFFFF">
      <w:start w:val="1"/>
      <w:numFmt w:val="upperRoman"/>
      <w:lvlText w:val="%1."/>
      <w:lvlJc w:val="left"/>
      <w:pPr>
        <w:ind w:left="1080" w:hanging="720"/>
      </w:pPr>
      <w:rPr>
        <w:rFonts w:hint="default"/>
        <w:color w:val="C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131360C"/>
    <w:multiLevelType w:val="hybridMultilevel"/>
    <w:tmpl w:val="AD483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5214BC6"/>
    <w:multiLevelType w:val="hybridMultilevel"/>
    <w:tmpl w:val="45AAFF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77A7155B"/>
    <w:multiLevelType w:val="hybridMultilevel"/>
    <w:tmpl w:val="47DAC3AC"/>
    <w:lvl w:ilvl="0" w:tplc="EDD6CDF2">
      <w:start w:val="1"/>
      <w:numFmt w:val="upperRoman"/>
      <w:lvlText w:val="%1."/>
      <w:lvlJc w:val="left"/>
      <w:pPr>
        <w:ind w:left="1080" w:hanging="720"/>
      </w:pPr>
      <w:rPr>
        <w:rFonts w:hint="default"/>
        <w:color w:val="C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23025771">
    <w:abstractNumId w:val="7"/>
  </w:num>
  <w:num w:numId="2" w16cid:durableId="1986078359">
    <w:abstractNumId w:val="5"/>
  </w:num>
  <w:num w:numId="3" w16cid:durableId="1708410897">
    <w:abstractNumId w:val="13"/>
  </w:num>
  <w:num w:numId="4" w16cid:durableId="1186600426">
    <w:abstractNumId w:val="0"/>
  </w:num>
  <w:num w:numId="5" w16cid:durableId="1426537395">
    <w:abstractNumId w:val="2"/>
  </w:num>
  <w:num w:numId="6" w16cid:durableId="553852890">
    <w:abstractNumId w:val="4"/>
  </w:num>
  <w:num w:numId="7" w16cid:durableId="459879000">
    <w:abstractNumId w:val="1"/>
  </w:num>
  <w:num w:numId="8" w16cid:durableId="1060791764">
    <w:abstractNumId w:val="6"/>
  </w:num>
  <w:num w:numId="9" w16cid:durableId="986519659">
    <w:abstractNumId w:val="12"/>
  </w:num>
  <w:num w:numId="10" w16cid:durableId="1054889990">
    <w:abstractNumId w:val="9"/>
  </w:num>
  <w:num w:numId="11" w16cid:durableId="851380630">
    <w:abstractNumId w:val="8"/>
  </w:num>
  <w:num w:numId="12" w16cid:durableId="1881626679">
    <w:abstractNumId w:val="3"/>
  </w:num>
  <w:num w:numId="13" w16cid:durableId="430124955">
    <w:abstractNumId w:val="10"/>
  </w:num>
  <w:num w:numId="14" w16cid:durableId="1958828023">
    <w:abstractNumId w:val="14"/>
  </w:num>
  <w:num w:numId="15" w16cid:durableId="872340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D06"/>
    <w:rsid w:val="00006F02"/>
    <w:rsid w:val="0001335C"/>
    <w:rsid w:val="00014788"/>
    <w:rsid w:val="00030681"/>
    <w:rsid w:val="000314B2"/>
    <w:rsid w:val="00033BCA"/>
    <w:rsid w:val="00041CC1"/>
    <w:rsid w:val="000552D3"/>
    <w:rsid w:val="00066AAD"/>
    <w:rsid w:val="00066AAF"/>
    <w:rsid w:val="000730FD"/>
    <w:rsid w:val="000919F7"/>
    <w:rsid w:val="00091C48"/>
    <w:rsid w:val="000B19C8"/>
    <w:rsid w:val="000D48DC"/>
    <w:rsid w:val="000D6790"/>
    <w:rsid w:val="00113805"/>
    <w:rsid w:val="001277BD"/>
    <w:rsid w:val="00171F32"/>
    <w:rsid w:val="0017244D"/>
    <w:rsid w:val="00173AF8"/>
    <w:rsid w:val="00184DBE"/>
    <w:rsid w:val="00200E25"/>
    <w:rsid w:val="00225AA7"/>
    <w:rsid w:val="00252573"/>
    <w:rsid w:val="00254BC2"/>
    <w:rsid w:val="002659BB"/>
    <w:rsid w:val="00265CFF"/>
    <w:rsid w:val="002741C6"/>
    <w:rsid w:val="00275376"/>
    <w:rsid w:val="002856C6"/>
    <w:rsid w:val="00295E4E"/>
    <w:rsid w:val="002A07D4"/>
    <w:rsid w:val="002A3CCD"/>
    <w:rsid w:val="002B63F2"/>
    <w:rsid w:val="002C7F04"/>
    <w:rsid w:val="002D0D91"/>
    <w:rsid w:val="002D620E"/>
    <w:rsid w:val="002F3619"/>
    <w:rsid w:val="002F50AB"/>
    <w:rsid w:val="00327CFD"/>
    <w:rsid w:val="003405FA"/>
    <w:rsid w:val="0034700F"/>
    <w:rsid w:val="00351DCF"/>
    <w:rsid w:val="00354C92"/>
    <w:rsid w:val="003628CB"/>
    <w:rsid w:val="00383A9D"/>
    <w:rsid w:val="003B2DC4"/>
    <w:rsid w:val="003B6AE3"/>
    <w:rsid w:val="003D2C1D"/>
    <w:rsid w:val="003D46CE"/>
    <w:rsid w:val="003E580A"/>
    <w:rsid w:val="003F3069"/>
    <w:rsid w:val="003F47CB"/>
    <w:rsid w:val="003F65A3"/>
    <w:rsid w:val="004207FC"/>
    <w:rsid w:val="004225BE"/>
    <w:rsid w:val="004560A3"/>
    <w:rsid w:val="004977B1"/>
    <w:rsid w:val="004A4083"/>
    <w:rsid w:val="004A7F2B"/>
    <w:rsid w:val="004D6CE5"/>
    <w:rsid w:val="004F18B5"/>
    <w:rsid w:val="00505251"/>
    <w:rsid w:val="00525CCB"/>
    <w:rsid w:val="00532DAB"/>
    <w:rsid w:val="005643D1"/>
    <w:rsid w:val="005752A3"/>
    <w:rsid w:val="00583BA9"/>
    <w:rsid w:val="005A57F7"/>
    <w:rsid w:val="005C2805"/>
    <w:rsid w:val="005C68A1"/>
    <w:rsid w:val="005C6CCD"/>
    <w:rsid w:val="005D1EED"/>
    <w:rsid w:val="005E2811"/>
    <w:rsid w:val="005E4B6D"/>
    <w:rsid w:val="005E5C77"/>
    <w:rsid w:val="005F2BCB"/>
    <w:rsid w:val="0061466D"/>
    <w:rsid w:val="006351CC"/>
    <w:rsid w:val="00666A2B"/>
    <w:rsid w:val="0067704A"/>
    <w:rsid w:val="006D187F"/>
    <w:rsid w:val="006D3CC8"/>
    <w:rsid w:val="006F3DB4"/>
    <w:rsid w:val="0070337E"/>
    <w:rsid w:val="00704B05"/>
    <w:rsid w:val="0075080B"/>
    <w:rsid w:val="00754032"/>
    <w:rsid w:val="007743FA"/>
    <w:rsid w:val="007817C5"/>
    <w:rsid w:val="00784830"/>
    <w:rsid w:val="007A717B"/>
    <w:rsid w:val="007B3F2A"/>
    <w:rsid w:val="007B6031"/>
    <w:rsid w:val="007E39FB"/>
    <w:rsid w:val="007F5665"/>
    <w:rsid w:val="00804A98"/>
    <w:rsid w:val="00823839"/>
    <w:rsid w:val="00826DCC"/>
    <w:rsid w:val="00834D36"/>
    <w:rsid w:val="00835D74"/>
    <w:rsid w:val="008729E4"/>
    <w:rsid w:val="00872BD0"/>
    <w:rsid w:val="008969F6"/>
    <w:rsid w:val="0089728F"/>
    <w:rsid w:val="008C2EA5"/>
    <w:rsid w:val="008D4C02"/>
    <w:rsid w:val="008E7478"/>
    <w:rsid w:val="008E7BE1"/>
    <w:rsid w:val="008F1A58"/>
    <w:rsid w:val="008F5BE7"/>
    <w:rsid w:val="00907D47"/>
    <w:rsid w:val="00917C3E"/>
    <w:rsid w:val="00921A07"/>
    <w:rsid w:val="0093530C"/>
    <w:rsid w:val="00950CC2"/>
    <w:rsid w:val="009641A7"/>
    <w:rsid w:val="009752E4"/>
    <w:rsid w:val="00981D06"/>
    <w:rsid w:val="009A422B"/>
    <w:rsid w:val="009E21B5"/>
    <w:rsid w:val="009E25BC"/>
    <w:rsid w:val="009F17CE"/>
    <w:rsid w:val="009F1A7A"/>
    <w:rsid w:val="009F2A71"/>
    <w:rsid w:val="00A115CB"/>
    <w:rsid w:val="00A21654"/>
    <w:rsid w:val="00A250AE"/>
    <w:rsid w:val="00A3059F"/>
    <w:rsid w:val="00A329CD"/>
    <w:rsid w:val="00A53535"/>
    <w:rsid w:val="00A70675"/>
    <w:rsid w:val="00A93DBC"/>
    <w:rsid w:val="00AD0806"/>
    <w:rsid w:val="00AE18A3"/>
    <w:rsid w:val="00B05949"/>
    <w:rsid w:val="00B11A69"/>
    <w:rsid w:val="00B3525F"/>
    <w:rsid w:val="00B41C06"/>
    <w:rsid w:val="00B52462"/>
    <w:rsid w:val="00B60847"/>
    <w:rsid w:val="00B83F03"/>
    <w:rsid w:val="00BB13BA"/>
    <w:rsid w:val="00BC4EA9"/>
    <w:rsid w:val="00BE2106"/>
    <w:rsid w:val="00BF772F"/>
    <w:rsid w:val="00C01573"/>
    <w:rsid w:val="00C10C75"/>
    <w:rsid w:val="00C13559"/>
    <w:rsid w:val="00C20095"/>
    <w:rsid w:val="00C236C7"/>
    <w:rsid w:val="00C272C8"/>
    <w:rsid w:val="00C337A0"/>
    <w:rsid w:val="00C653CB"/>
    <w:rsid w:val="00C82D24"/>
    <w:rsid w:val="00C902D1"/>
    <w:rsid w:val="00CA4C0F"/>
    <w:rsid w:val="00CC57F1"/>
    <w:rsid w:val="00CD79ED"/>
    <w:rsid w:val="00CE0F8D"/>
    <w:rsid w:val="00CF62FD"/>
    <w:rsid w:val="00D3675B"/>
    <w:rsid w:val="00D42D65"/>
    <w:rsid w:val="00D51B72"/>
    <w:rsid w:val="00D8781E"/>
    <w:rsid w:val="00DB1F44"/>
    <w:rsid w:val="00DB532C"/>
    <w:rsid w:val="00DD45FE"/>
    <w:rsid w:val="00DE6322"/>
    <w:rsid w:val="00DF0879"/>
    <w:rsid w:val="00DF6FA0"/>
    <w:rsid w:val="00E621DC"/>
    <w:rsid w:val="00E865F0"/>
    <w:rsid w:val="00E92C8A"/>
    <w:rsid w:val="00EB39D9"/>
    <w:rsid w:val="00EB4DE7"/>
    <w:rsid w:val="00EC0F63"/>
    <w:rsid w:val="00ED357E"/>
    <w:rsid w:val="00EF6FB5"/>
    <w:rsid w:val="00F02113"/>
    <w:rsid w:val="00F177F1"/>
    <w:rsid w:val="00F26FE9"/>
    <w:rsid w:val="00F51DCC"/>
    <w:rsid w:val="00F64698"/>
    <w:rsid w:val="00F7623D"/>
    <w:rsid w:val="00F80B65"/>
    <w:rsid w:val="00F97FE2"/>
    <w:rsid w:val="00FD6E98"/>
    <w:rsid w:val="00FD7102"/>
    <w:rsid w:val="00FF0678"/>
    <w:rsid w:val="00FF3C86"/>
    <w:rsid w:val="00FF532A"/>
    <w:rsid w:val="00FF722F"/>
    <w:rsid w:val="0164B496"/>
    <w:rsid w:val="0729EB6F"/>
    <w:rsid w:val="07E3B385"/>
    <w:rsid w:val="07E7C73B"/>
    <w:rsid w:val="0B05D560"/>
    <w:rsid w:val="0CFBA0C5"/>
    <w:rsid w:val="0D3486E1"/>
    <w:rsid w:val="11CF11E8"/>
    <w:rsid w:val="16F49184"/>
    <w:rsid w:val="1A1309E9"/>
    <w:rsid w:val="20BD5200"/>
    <w:rsid w:val="23062E91"/>
    <w:rsid w:val="246EDA52"/>
    <w:rsid w:val="2D5486CD"/>
    <w:rsid w:val="2EA6363B"/>
    <w:rsid w:val="2EBB087A"/>
    <w:rsid w:val="2EEB63FF"/>
    <w:rsid w:val="2F48545B"/>
    <w:rsid w:val="31CC2DAB"/>
    <w:rsid w:val="322304C1"/>
    <w:rsid w:val="322DE6A4"/>
    <w:rsid w:val="32383BA7"/>
    <w:rsid w:val="33D40C08"/>
    <w:rsid w:val="37BBA7BE"/>
    <w:rsid w:val="3919D643"/>
    <w:rsid w:val="3A473F03"/>
    <w:rsid w:val="41892D97"/>
    <w:rsid w:val="43E1D9A1"/>
    <w:rsid w:val="44BD0BAF"/>
    <w:rsid w:val="456282D3"/>
    <w:rsid w:val="47B17311"/>
    <w:rsid w:val="498304A5"/>
    <w:rsid w:val="4A443A70"/>
    <w:rsid w:val="4B86A745"/>
    <w:rsid w:val="4E6F9E25"/>
    <w:rsid w:val="5086168B"/>
    <w:rsid w:val="54DEDFA9"/>
    <w:rsid w:val="566187AD"/>
    <w:rsid w:val="57FD580E"/>
    <w:rsid w:val="58C0BF7C"/>
    <w:rsid w:val="615550C4"/>
    <w:rsid w:val="620EE83D"/>
    <w:rsid w:val="64E3C89C"/>
    <w:rsid w:val="667F98FD"/>
    <w:rsid w:val="68CEC3EA"/>
    <w:rsid w:val="69B739BF"/>
    <w:rsid w:val="6FC9EB8A"/>
    <w:rsid w:val="7165BBEB"/>
    <w:rsid w:val="72AE2111"/>
    <w:rsid w:val="77198047"/>
    <w:rsid w:val="78755527"/>
    <w:rsid w:val="79A5EEB2"/>
    <w:rsid w:val="7B4A49AA"/>
    <w:rsid w:val="7C43C880"/>
    <w:rsid w:val="7F94D9A0"/>
  </w:rsids>
  <m:mathPr>
    <m:mathFont m:val="Cambria Math"/>
    <m:brkBin m:val="before"/>
    <m:brkBinSub m:val="--"/>
    <m:smallFrac m:val="0"/>
    <m:dispDef/>
    <m:lMargin m:val="0"/>
    <m:rMargin m:val="0"/>
    <m:defJc m:val="centerGroup"/>
    <m:wrapIndent m:val="1440"/>
    <m:intLim m:val="subSup"/>
    <m:naryLim m:val="undOvr"/>
  </m:mathPr>
  <w:themeFontLang w:val="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66AE2"/>
  <w15:chartTrackingRefBased/>
  <w15:docId w15:val="{A5FA4B3E-132F-44E8-8518-DA11A2FF8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pPrDefault>
      <w:pPr>
        <w:spacing w:after="160" w:line="259" w:lineRule="auto"/>
      </w:pPr>
    </w:pPrDefault>
    <w:rPrDefault>
      <w:rPr>
        <w:rFonts w:asciiTheme="minorHAnsi" w:hAnsiTheme="minorHAnsi" w:cstheme="minorBidi" w:eastAsiaTheme="minorHAnsi"/>
        <w:sz w:val="22"/>
      </w:rPr>
    </w:r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D06"/>
    <w:pPr>
      <w:widowControl w:val="0"/>
      <w:autoSpaceDE w:val="0"/>
      <w:autoSpaceDN w:val="0"/>
      <w:spacing w:after="0" w:line="240" w:lineRule="auto"/>
    </w:pPr>
    <w:rPr>
      <w:rFonts w:ascii="Carlito" w:hAnsi="Carlito" w:cs="Carlito" w:eastAsia="Carlito"/>
    </w:rPr>
  </w:style>
  <w:style w:type="paragraph" w:styleId="Heading1">
    <w:name w:val="heading 1"/>
    <w:basedOn w:val="Normal"/>
    <w:next w:val="Normal"/>
    <w:link w:val="Heading1Char"/>
    <w:uiPriority w:val="9"/>
    <w:qFormat/>
    <w:rsid w:val="00804A98"/>
    <w:pPr>
      <w:keepNext/>
      <w:keepLines/>
      <w:widowControl/>
      <w:autoSpaceDE/>
      <w:autoSpaceDN/>
      <w:spacing w:before="240"/>
      <w:outlineLvl w:val="0"/>
    </w:pPr>
    <w:rPr>
      <w:rFonts w:asciiTheme="majorHAnsi" w:hAnsiTheme="majorHAnsi" w:cstheme="majorBidi" w:eastAsiaTheme="majorEastAsia"/>
      <w:color w:val="2F5496" w:themeColor="accent1" w:themeShade="BF"/>
      <w:kern w:val="2"/>
      <w:sz w:val="3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81D06"/>
  </w:style>
  <w:style w:type="character" w:customStyle="1" w:styleId="BodyTextChar">
    <w:name w:val="Body Text Char"/>
    <w:basedOn w:val="DefaultParagraphFont"/>
    <w:link w:val="BodyText"/>
    <w:uiPriority w:val="1"/>
    <w:rsid w:val="00981D06"/>
    <w:rPr>
      <w:rFonts w:ascii="Carlito" w:hAnsi="Carlito" w:cs="Carlito" w:eastAsia="Carlito"/>
    </w:rPr>
  </w:style>
  <w:style w:type="paragraph" w:styleId="ListParagraph">
    <w:name w:val="List Paragraph"/>
    <w:aliases w:val="Dot pt,No Spacing1,List Paragraph Char Char Char,Indicator Text,Numbered Para 1,Bullet 1,List Paragraph1,F5 List Paragraph,Bullet Points,MAIN CONTENT,Colorful List - Accent 11,List Paragraph2,List Paragraph12,OBC Bullet,List Paragraph11,L"/>
    <w:basedOn w:val="Normal"/>
    <w:link w:val="ListParagraphChar"/>
    <w:uiPriority w:val="34"/>
    <w:qFormat/>
    <w:rsid w:val="00981D06"/>
    <w:pPr>
      <w:ind w:left="833" w:hanging="361"/>
    </w:pPr>
  </w:style>
  <w:style w:type="character" w:styleId="CommentReference">
    <w:name w:val="annotation reference"/>
    <w:basedOn w:val="DefaultParagraphFont"/>
    <w:uiPriority w:val="99"/>
    <w:semiHidden/>
    <w:unhideWhenUsed/>
    <w:rsid w:val="00981D06"/>
    <w:rPr>
      <w:sz w:val="16"/>
    </w:rPr>
  </w:style>
  <w:style w:type="paragraph" w:styleId="CommentText">
    <w:name w:val="annotation text"/>
    <w:basedOn w:val="Normal"/>
    <w:link w:val="CommentTextChar"/>
    <w:uiPriority w:val="99"/>
    <w:unhideWhenUsed/>
    <w:rsid w:val="00981D06"/>
    <w:rPr>
      <w:sz w:val="20"/>
    </w:rPr>
  </w:style>
  <w:style w:type="character" w:customStyle="1" w:styleId="CommentTextChar">
    <w:name w:val="Comment Text Char"/>
    <w:basedOn w:val="DefaultParagraphFont"/>
    <w:link w:val="CommentText"/>
    <w:uiPriority w:val="99"/>
    <w:rsid w:val="00981D06"/>
    <w:rPr>
      <w:rFonts w:ascii="Carlito" w:hAnsi="Carlito" w:cs="Carlito" w:eastAsia="Carlito"/>
      <w:sz w:val="20"/>
    </w:rPr>
  </w:style>
  <w:style w:type="character" w:customStyle="1" w:styleId="ListParagraphChar">
    <w:name w:val="List Paragraph Char"/>
    <w:aliases w:val="Dot pt Char,No Spacing1 Char,List Paragraph Char Char Char Char,Indicator Text Char,Numbered Para 1 Char,Bullet 1 Char,List Paragraph1 Char,F5 List Paragraph Char,Bullet Points Char,MAIN CONTENT Char,Colorful List - Accent 11 Char"/>
    <w:basedOn w:val="DefaultParagraphFont"/>
    <w:link w:val="ListParagraph"/>
    <w:uiPriority w:val="1"/>
    <w:locked/>
    <w:rsid w:val="00981D06"/>
    <w:rPr>
      <w:rFonts w:ascii="Carlito" w:hAnsi="Carlito" w:cs="Carlito" w:eastAsia="Carlito"/>
    </w:rPr>
  </w:style>
  <w:style w:type="paragraph" w:styleId="CommentSubject">
    <w:name w:val="annotation subject"/>
    <w:basedOn w:val="CommentText"/>
    <w:next w:val="CommentText"/>
    <w:link w:val="CommentSubjectChar"/>
    <w:uiPriority w:val="99"/>
    <w:semiHidden/>
    <w:unhideWhenUsed/>
    <w:rsid w:val="00981D06"/>
    <w:rPr>
      <w:b/>
    </w:rPr>
  </w:style>
  <w:style w:type="character" w:customStyle="1" w:styleId="CommentSubjectChar">
    <w:name w:val="Comment Subject Char"/>
    <w:basedOn w:val="CommentTextChar"/>
    <w:link w:val="CommentSubject"/>
    <w:uiPriority w:val="99"/>
    <w:semiHidden/>
    <w:rsid w:val="00981D06"/>
    <w:rPr>
      <w:rFonts w:ascii="Carlito" w:hAnsi="Carlito" w:cs="Carlito" w:eastAsia="Carlito"/>
      <w:b/>
      <w:sz w:val="20"/>
    </w:rPr>
  </w:style>
  <w:style w:type="paragraph" w:styleId="Revision">
    <w:name w:val="Revision"/>
    <w:hidden/>
    <w:uiPriority w:val="99"/>
    <w:semiHidden/>
    <w:rsid w:val="003B6AE3"/>
    <w:pPr>
      <w:spacing w:after="0" w:line="240" w:lineRule="auto"/>
    </w:pPr>
    <w:rPr>
      <w:rFonts w:ascii="Carlito" w:hAnsi="Carlito" w:cs="Carlito" w:eastAsia="Carlito"/>
    </w:rPr>
  </w:style>
  <w:style w:type="character" w:styleId="Emphasis">
    <w:name w:val="Emphasis"/>
    <w:basedOn w:val="DefaultParagraphFont"/>
    <w:uiPriority w:val="20"/>
    <w:qFormat/>
    <w:rsid w:val="000D48DC"/>
    <w:rPr>
      <w:i/>
    </w:rPr>
  </w:style>
  <w:style w:type="character" w:styleId="Hyperlink">
    <w:name w:val="Hyperlink"/>
    <w:basedOn w:val="DefaultParagraphFont"/>
    <w:uiPriority w:val="99"/>
    <w:unhideWhenUsed/>
    <w:rsid w:val="009641A7"/>
    <w:rPr>
      <w:color w:val="0563C1" w:themeColor="hyperlink"/>
      <w:u w:val="single"/>
    </w:rPr>
  </w:style>
  <w:style w:type="character" w:styleId="UnresolvedMention">
    <w:name w:val="Unresolved Mention"/>
    <w:basedOn w:val="DefaultParagraphFont"/>
    <w:uiPriority w:val="99"/>
    <w:semiHidden/>
    <w:unhideWhenUsed/>
    <w:rsid w:val="009641A7"/>
    <w:rPr>
      <w:color w:val="605E5C"/>
      <w:shd w:val="clear" w:color="auto" w:fill="E1DFDD"/>
    </w:rPr>
  </w:style>
  <w:style w:type="paragraph" w:styleId="Header">
    <w:name w:val="header"/>
    <w:basedOn w:val="Normal"/>
    <w:link w:val="HeaderChar"/>
    <w:uiPriority w:val="99"/>
    <w:unhideWhenUsed/>
    <w:rsid w:val="008969F6"/>
    <w:pPr>
      <w:tabs>
        <w:tab w:val="center" w:pos="4680"/>
        <w:tab w:val="right" w:pos="9360"/>
      </w:tabs>
    </w:pPr>
  </w:style>
  <w:style w:type="character" w:customStyle="1" w:styleId="HeaderChar">
    <w:name w:val="Header Char"/>
    <w:basedOn w:val="DefaultParagraphFont"/>
    <w:link w:val="Header"/>
    <w:uiPriority w:val="99"/>
    <w:rsid w:val="008969F6"/>
    <w:rPr>
      <w:rFonts w:ascii="Carlito" w:hAnsi="Carlito" w:cs="Carlito" w:eastAsia="Carlito"/>
    </w:rPr>
  </w:style>
  <w:style w:type="paragraph" w:styleId="Footer">
    <w:name w:val="footer"/>
    <w:basedOn w:val="Normal"/>
    <w:link w:val="FooterChar"/>
    <w:uiPriority w:val="99"/>
    <w:unhideWhenUsed/>
    <w:rsid w:val="008969F6"/>
    <w:pPr>
      <w:tabs>
        <w:tab w:val="center" w:pos="4680"/>
        <w:tab w:val="right" w:pos="9360"/>
      </w:tabs>
    </w:pPr>
  </w:style>
  <w:style w:type="character" w:customStyle="1" w:styleId="FooterChar">
    <w:name w:val="Footer Char"/>
    <w:basedOn w:val="DefaultParagraphFont"/>
    <w:link w:val="Footer"/>
    <w:uiPriority w:val="99"/>
    <w:rsid w:val="008969F6"/>
    <w:rPr>
      <w:rFonts w:ascii="Carlito" w:hAnsi="Carlito" w:cs="Carlito" w:eastAsia="Carlito"/>
    </w:rPr>
  </w:style>
  <w:style w:type="paragraph" w:customStyle="1" w:styleId="paragraph">
    <w:name w:val="paragraph"/>
    <w:basedOn w:val="Normal"/>
    <w:rsid w:val="00804A98"/>
    <w:pPr>
      <w:widowControl/>
      <w:autoSpaceDE/>
      <w:autoSpaceDN/>
      <w:spacing w:before="100" w:beforeAutospacing="1" w:after="100" w:afterAutospacing="1"/>
    </w:pPr>
    <w:rPr>
      <w:rFonts w:ascii="Times New Roman" w:hAnsi="Times New Roman" w:cs="Times New Roman" w:eastAsia="Times New Roman"/>
      <w:sz w:val="24"/>
    </w:rPr>
  </w:style>
  <w:style w:type="character" w:customStyle="1" w:styleId="normaltextrun">
    <w:name w:val="normaltextrun"/>
    <w:basedOn w:val="DefaultParagraphFont"/>
    <w:rsid w:val="00804A98"/>
  </w:style>
  <w:style w:type="character" w:customStyle="1" w:styleId="eop">
    <w:name w:val="eop"/>
    <w:basedOn w:val="DefaultParagraphFont"/>
    <w:rsid w:val="00804A98"/>
  </w:style>
  <w:style w:type="paragraph" w:styleId="Bibliography">
    <w:name w:val="Bibliography"/>
    <w:basedOn w:val="Normal"/>
    <w:next w:val="Normal"/>
    <w:uiPriority w:val="37"/>
    <w:semiHidden/>
    <w:unhideWhenUsed/>
    <w:rsid w:val="00804A98"/>
  </w:style>
  <w:style w:type="character" w:customStyle="1" w:styleId="Heading1Char">
    <w:name w:val="Heading 1 Char"/>
    <w:basedOn w:val="DefaultParagraphFont"/>
    <w:link w:val="Heading1"/>
    <w:uiPriority w:val="9"/>
    <w:rsid w:val="00804A98"/>
    <w:rPr>
      <w:rFonts w:asciiTheme="majorHAnsi" w:hAnsiTheme="majorHAnsi" w:cstheme="majorBidi" w:eastAsiaTheme="majorEastAsia"/>
      <w:color w:val="2F5496" w:themeColor="accent1" w:themeShade="BF"/>
      <w:kern w:val="2"/>
      <w:sz w:val="32"/>
      <w14:ligatures w14:val="standardContextual"/>
    </w:rPr>
  </w:style>
  <w:style w:type="paragraph" w:styleId="FootnoteText">
    <w:name w:val="footnote text"/>
    <w:aliases w:val="single space,Footnote Text Char1,Footnote Text Char2 Char,Footnote Text Char1 Char Char,Footnote Text Char2 Char Char Char,Footnote Text Char1 Char Char Char Char,Footnote Text Char2 Char Char Char Char Char,Footnote Text Char1 Char,fn,f"/>
    <w:basedOn w:val="Normal"/>
    <w:link w:val="FootnoteTextChar"/>
    <w:uiPriority w:val="99"/>
    <w:unhideWhenUsed/>
    <w:qFormat/>
    <w:rsid w:val="00804A98"/>
    <w:pPr>
      <w:widowControl/>
      <w:autoSpaceDE/>
      <w:autoSpaceDN/>
    </w:pPr>
    <w:rPr>
      <w:rFonts w:asciiTheme="minorHAnsi" w:hAnsiTheme="minorHAnsi" w:cstheme="minorBidi" w:eastAsiaTheme="minorHAnsi"/>
      <w:kern w:val="2"/>
      <w:sz w:val="20"/>
      <w14:ligatures w14:val="standardContextual"/>
    </w:rPr>
  </w:style>
  <w:style w:type="character" w:customStyle="1" w:styleId="FootnoteTextChar">
    <w:name w:val="Footnote Text Char"/>
    <w:aliases w:val="single space Char,Footnote Text Char1 Char1,Footnote Text Char2 Char Char,Footnote Text Char1 Char Char Char,Footnote Text Char2 Char Char Char Char,Footnote Text Char1 Char Char Char Char Char,Footnote Text Char1 Char Char1,fn Char"/>
    <w:basedOn w:val="DefaultParagraphFont"/>
    <w:link w:val="FootnoteText"/>
    <w:uiPriority w:val="99"/>
    <w:rsid w:val="00804A98"/>
    <w:rPr>
      <w:kern w:val="2"/>
      <w:sz w:val="20"/>
      <w14:ligatures w14:val="standardContextual"/>
    </w:rPr>
  </w:style>
  <w:style w:type="character" w:styleId="FootnoteReference">
    <w:name w:val="footnote reference"/>
    <w:aliases w:val="ftref,ftref Char,BVI fnr Char,BVI fnr תו Char Char Char Char Char Char,BVI fnr Car Car תו Char Char Char Char Char Char,BVI fnr Car תו Char Char Char Char Char Char,16 Point Char,Superscript 6 Point Char, BVI fnr Char Char"/>
    <w:basedOn w:val="DefaultParagraphFont"/>
    <w:link w:val="BVIfnr"/>
    <w:uiPriority w:val="99"/>
    <w:unhideWhenUsed/>
    <w:qFormat/>
    <w:rsid w:val="00804A98"/>
    <w:rPr>
      <w:vertAlign w:val="superscript"/>
    </w:rPr>
  </w:style>
  <w:style w:type="paragraph" w:customStyle="1" w:styleId="BVIfnr">
    <w:name w:val="BVI fnr"/>
    <w:aliases w:val="BVI fnr תו Char Char Char Char Char,BVI fnr Car Car תו Char Char Char Char Char,BVI fnr Car תו Char Char Char Char Char,16 Point,Superscript 6 Point, BVI fnr"/>
    <w:basedOn w:val="Normal"/>
    <w:link w:val="FootnoteReference"/>
    <w:uiPriority w:val="99"/>
    <w:rsid w:val="00804A98"/>
    <w:pPr>
      <w:widowControl/>
      <w:autoSpaceDE/>
      <w:autoSpaceDN/>
      <w:spacing w:line="240" w:lineRule="exact"/>
    </w:pPr>
    <w:rPr>
      <w:rFonts w:asciiTheme="minorHAnsi" w:hAnsiTheme="minorHAnsi" w:cstheme="minorBidi" w:eastAsiaTheme="minorHAnsi"/>
      <w:vertAlign w:val="superscript"/>
    </w:rPr>
  </w:style>
  <w:style w:type="paragraph" w:styleId="P68B1DB1-Normal1">
    <w:name w:val="P68B1DB1-Normal1"/>
    <w:basedOn w:val="Normal"/>
    <w:rPr>
      <w:rFonts w:asciiTheme="minorHAnsi" w:hAnsiTheme="minorHAnsi" w:cstheme="minorHAnsi" w:eastAsia="Arial"/>
      <w:b/>
      <w:color w:val="D40031"/>
      <w:sz w:val="40"/>
    </w:rPr>
  </w:style>
  <w:style w:type="paragraph" w:styleId="P68B1DB1-Normal2">
    <w:name w:val="P68B1DB1-Normal2"/>
    <w:basedOn w:val="Normal"/>
    <w:rPr>
      <w:rFonts w:asciiTheme="minorHAnsi" w:hAnsiTheme="minorHAnsi" w:cstheme="minorHAnsi"/>
      <w:b/>
      <w:i/>
      <w:sz w:val="28"/>
    </w:rPr>
  </w:style>
  <w:style w:type="paragraph" w:styleId="P68B1DB1-ListParagraph3">
    <w:name w:val="P68B1DB1-ListParagraph3"/>
    <w:basedOn w:val="ListParagraph"/>
    <w:rPr>
      <w:rFonts w:asciiTheme="minorHAnsi" w:hAnsiTheme="minorHAnsi" w:cstheme="minorHAnsi" w:eastAsia="Arial"/>
      <w:b/>
      <w:color w:val="D40031"/>
      <w:sz w:val="28"/>
    </w:rPr>
  </w:style>
  <w:style w:type="paragraph" w:styleId="P68B1DB1-Normal4">
    <w:name w:val="P68B1DB1-Normal4"/>
    <w:basedOn w:val="Normal"/>
    <w:rPr>
      <w:rFonts w:asciiTheme="minorHAnsi" w:hAnsiTheme="minorHAnsi" w:cstheme="minorHAnsi"/>
      <w:b/>
      <w:sz w:val="24"/>
    </w:rPr>
  </w:style>
  <w:style w:type="paragraph" w:styleId="P68B1DB1-ListParagraph5">
    <w:name w:val="P68B1DB1-ListParagraph5"/>
    <w:basedOn w:val="ListParagraph"/>
    <w:rPr>
      <w:rFonts w:asciiTheme="minorHAnsi" w:hAnsiTheme="minorHAnsi" w:cstheme="minorHAnsi"/>
    </w:rPr>
  </w:style>
  <w:style w:type="paragraph" w:styleId="P68B1DB1-ListParagraph6">
    <w:name w:val="P68B1DB1-ListParagraph6"/>
    <w:basedOn w:val="ListParagraph"/>
    <w:rPr>
      <w:rFonts w:asciiTheme="minorHAnsi" w:hAnsiTheme="minorHAnsi" w:cstheme="minorHAnsi"/>
      <w:color w:val="000000" w:themeColor="text1"/>
    </w:rPr>
  </w:style>
  <w:style w:type="paragraph" w:styleId="P68B1DB1-Normal7">
    <w:name w:val="P68B1DB1-Normal7"/>
    <w:basedOn w:val="Normal"/>
    <w:rPr>
      <w:rFonts w:asciiTheme="minorHAnsi" w:hAnsiTheme="minorHAnsi" w:cstheme="minorHAnsi" w:eastAsia="Calibri"/>
    </w:rPr>
  </w:style>
  <w:style w:type="paragraph" w:styleId="P68B1DB1-Normal8">
    <w:name w:val="P68B1DB1-Normal8"/>
    <w:basedOn w:val="Normal"/>
    <w:rPr>
      <w:rFonts w:asciiTheme="minorHAnsi" w:hAnsiTheme="minorHAnsi" w:cstheme="minorHAnsi" w:eastAsia="Calibri"/>
      <w:b/>
      <w:color w:val="000000" w:themeColor="text1"/>
      <w:sz w:val="24"/>
    </w:rPr>
  </w:style>
  <w:style w:type="paragraph" w:styleId="P68B1DB1-Normal9">
    <w:name w:val="P68B1DB1-Normal9"/>
    <w:basedOn w:val="Normal"/>
    <w:rPr>
      <w:rFonts w:asciiTheme="minorHAnsi" w:hAnsiTheme="minorHAnsi" w:cstheme="minorHAnsi"/>
    </w:rPr>
  </w:style>
  <w:style w:type="paragraph" w:styleId="P68B1DB1-Normal10">
    <w:name w:val="P68B1DB1-Normal10"/>
    <w:basedOn w:val="Normal"/>
    <w:rPr>
      <w:rFonts w:asciiTheme="minorHAnsi" w:hAnsiTheme="minorHAnsi" w:cstheme="minorHAnsi"/>
      <w:shd w:val="clear" w:color="auto" w:fill="FFFFFF"/>
    </w:rPr>
  </w:style>
  <w:style w:type="paragraph" w:styleId="P68B1DB1-Normal11">
    <w:name w:val="P68B1DB1-Normal11"/>
    <w:basedOn w:val="Normal"/>
    <w:rPr>
      <w:rFonts w:asciiTheme="minorHAnsi" w:hAnsiTheme="minorHAnsi" w:cstheme="minorHAnsi" w:eastAsia="Calibri"/>
      <w:color w:val="000000" w:themeColor="text1"/>
    </w:rPr>
  </w:style>
  <w:style w:type="paragraph" w:styleId="P68B1DB1-ListParagraph12">
    <w:name w:val="P68B1DB1-ListParagraph12"/>
    <w:basedOn w:val="ListParagraph"/>
    <w:rPr>
      <w:rFonts w:asciiTheme="minorHAnsi" w:hAnsiTheme="minorHAnsi" w:cstheme="minorHAnsi"/>
      <w:b/>
    </w:rPr>
  </w:style>
  <w:style w:type="paragraph" w:styleId="P68B1DB1-Heading113">
    <w:name w:val="P68B1DB1-Heading113"/>
    <w:basedOn w:val="Heading1"/>
    <w:rPr>
      <w:rFonts w:asciiTheme="minorHAnsi" w:hAnsiTheme="minorHAnsi" w:cstheme="minorHAnsi"/>
      <w:b/>
      <w:color w:val="000000" w:themeColor="text1"/>
      <w:sz w:val="24"/>
    </w:rPr>
  </w:style>
  <w:style w:type="paragraph" w:styleId="P68B1DB1-BodyText14">
    <w:name w:val="P68B1DB1-BodyText14"/>
    <w:basedOn w:val="BodyText"/>
    <w:rPr>
      <w:rFonts w:asciiTheme="minorHAnsi" w:hAnsiTheme="minorHAnsi" w:cstheme="minorHAnsi"/>
    </w:rPr>
  </w:style>
  <w:style w:type="paragraph" w:styleId="P68B1DB1-Normal15">
    <w:name w:val="P68B1DB1-Normal15"/>
    <w:basedOn w:val="Normal"/>
    <w:rPr>
      <w:rFonts w:asciiTheme="minorHAnsi" w:hAnsiTheme="minorHAnsi" w:cstheme="minorHAnsi"/>
      <w:i/>
    </w:rPr>
  </w:style>
  <w:style w:type="paragraph" w:styleId="P68B1DB1-BodyText16">
    <w:name w:val="P68B1DB1-BodyText16"/>
    <w:basedOn w:val="BodyText"/>
    <w:rPr>
      <w:rFonts w:asciiTheme="minorHAnsi" w:hAnsiTheme="minorHAnsi" w:cstheme="minorHAnsi"/>
      <w:b/>
      <w:color w:val="000000" w:themeColor="text1"/>
      <w:sz w:val="24"/>
    </w:rPr>
  </w:style>
  <w:style w:type="paragraph" w:styleId="P68B1DB1-BodyText17">
    <w:name w:val="P68B1DB1-BodyText17"/>
    <w:basedOn w:val="BodyText"/>
    <w:rPr>
      <w:rFonts w:asciiTheme="minorHAnsi" w:hAnsiTheme="minorHAnsi" w:cstheme="minorHAnsi"/>
      <w:b/>
      <w:sz w:val="24"/>
    </w:rPr>
  </w:style>
  <w:style w:type="paragraph" w:styleId="P68B1DB1-BodyText18">
    <w:name w:val="P68B1DB1-BodyText18"/>
    <w:basedOn w:val="BodyText"/>
    <w:rPr>
      <w:rFonts w:asciiTheme="minorHAnsi" w:hAnsiTheme="minorHAnsi" w:cstheme="minorHAnsi"/>
      <w:b/>
    </w:rPr>
  </w:style>
  <w:style w:type="paragraph" w:styleId="P68B1DB1-Normal19">
    <w:name w:val="P68B1DB1-Normal19"/>
    <w:basedOn w:val="Normal"/>
    <w:rPr>
      <w:rFonts w:asciiTheme="minorHAnsi" w:hAnsiTheme="minorHAnsi" w:cstheme="minorHAnsi"/>
      <w:b/>
    </w:rPr>
  </w:style>
  <w:style w:type="paragraph" w:styleId="P68B1DB1-Bibliography20">
    <w:name w:val="P68B1DB1-Bibliography20"/>
    <w:basedOn w:val="Bibliography"/>
    <w:rPr>
      <w:rFonts w:asciiTheme="minorHAnsi" w:hAnsiTheme="minorHAnsi"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8107944">
      <w:bodyDiv w:val="1"/>
      <w:marLeft w:val="0"/>
      <w:marRight w:val="0"/>
      <w:marTop w:val="0"/>
      <w:marBottom w:val="0"/>
      <w:divBdr>
        <w:top w:val="none" w:sz="0" w:space="0" w:color="auto"/>
        <w:left w:val="none" w:sz="0" w:space="0" w:color="auto"/>
        <w:bottom w:val="none" w:sz="0" w:space="0" w:color="auto"/>
        <w:right w:val="none" w:sz="0" w:space="0" w:color="auto"/>
      </w:divBdr>
      <w:divsChild>
        <w:div w:id="572467390">
          <w:marLeft w:val="0"/>
          <w:marRight w:val="0"/>
          <w:marTop w:val="0"/>
          <w:marBottom w:val="0"/>
          <w:divBdr>
            <w:top w:val="none" w:sz="0" w:space="0" w:color="auto"/>
            <w:left w:val="none" w:sz="0" w:space="0" w:color="auto"/>
            <w:bottom w:val="none" w:sz="0" w:space="0" w:color="auto"/>
            <w:right w:val="none" w:sz="0" w:space="0" w:color="auto"/>
          </w:divBdr>
        </w:div>
        <w:div w:id="2093405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toptb.org/global/awards/tbreach/wave7GenderPaper.asp"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dn.who.int/media/docs/default-source/hq-tuberculosis/who_globalhbcliststb_2021-2025_backgrounddocument.pdf?sfvrsn=f6b854c2_9"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datahelpdesk.worldbank.org/knowledgebase/articles/906519-world-bank-country-and-lending-group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PublishingExpirationDate xmlns="http://schemas.microsoft.com/sharepoint/v3" xsi:nil="true"/>
    <PublishingStartDate xmlns="http://schemas.microsoft.com/sharepoint/v3" xsi:nil="true"/>
    <lcf76f155ced4ddcb4097134ff3c332f xmlns="4cf32ef5-77b5-4ac5-bc64-0a897a2173f7">
      <Terms xmlns="http://schemas.microsoft.com/office/infopath/2007/PartnerControls"/>
    </lcf76f155ced4ddcb4097134ff3c332f>
    <TaxCatchAll xmlns="8316766a-56c0-4c7a-96fe-998da8001e7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A6ADE42C9FB1346B907865A1D903594" ma:contentTypeVersion="20" ma:contentTypeDescription="Create a new document." ma:contentTypeScope="" ma:versionID="ffa5c6e7c94f5e0cb7fe9d5993cbc4ac">
  <xsd:schema xmlns:xsd="http://www.w3.org/2001/XMLSchema" xmlns:xs="http://www.w3.org/2001/XMLSchema" xmlns:p="http://schemas.microsoft.com/office/2006/metadata/properties" xmlns:ns1="http://schemas.microsoft.com/sharepoint/v3" xmlns:ns2="4cf32ef5-77b5-4ac5-bc64-0a897a2173f7" xmlns:ns3="8316766a-56c0-4c7a-96fe-998da8001e7f" targetNamespace="http://schemas.microsoft.com/office/2006/metadata/properties" ma:root="true" ma:fieldsID="d3b6dc43422992072f74ce04dce9df0d" ns1:_="" ns2:_="" ns3:_="">
    <xsd:import namespace="http://schemas.microsoft.com/sharepoint/v3"/>
    <xsd:import namespace="4cf32ef5-77b5-4ac5-bc64-0a897a2173f7"/>
    <xsd:import namespace="8316766a-56c0-4c7a-96fe-998da8001e7f"/>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f32ef5-77b5-4ac5-bc64-0a897a2173f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8c7ceef-f2b0-4869-8dd2-99de07b744a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16766a-56c0-4c7a-96fe-998da8001e7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48401384-fb84-4142-a3ef-20bfa981b121}" ma:internalName="TaxCatchAll" ma:showField="CatchAllData" ma:web="8316766a-56c0-4c7a-96fe-998da8001e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8DD4A2-C062-4974-AAF5-ED3A00C6BEF8}">
  <ds:schemaRefs>
    <ds:schemaRef ds:uri="http://schemas.microsoft.com/sharepoint/v3/contenttype/forms"/>
  </ds:schemaRefs>
</ds:datastoreItem>
</file>

<file path=customXml/itemProps2.xml><?xml version="1.0" encoding="utf-8"?>
<ds:datastoreItem xmlns:ds="http://schemas.openxmlformats.org/officeDocument/2006/customXml" ds:itemID="{A65CB52F-BDDE-453C-B829-3353792D957F}">
  <ds:schemaRefs>
    <ds:schemaRef ds:uri="http://schemas.microsoft.com/office/2006/metadata/properties"/>
    <ds:schemaRef ds:uri="http://schemas.microsoft.com/office/infopath/2007/PartnerControls"/>
    <ds:schemaRef ds:uri="http://schemas.microsoft.com/sharepoint/v3"/>
    <ds:schemaRef ds:uri="4cf32ef5-77b5-4ac5-bc64-0a897a2173f7"/>
    <ds:schemaRef ds:uri="8316766a-56c0-4c7a-96fe-998da8001e7f"/>
  </ds:schemaRefs>
</ds:datastoreItem>
</file>

<file path=customXml/itemProps3.xml><?xml version="1.0" encoding="utf-8"?>
<ds:datastoreItem xmlns:ds="http://schemas.openxmlformats.org/officeDocument/2006/customXml" ds:itemID="{61EF7433-DAF1-48F8-9D0E-113D75218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cf32ef5-77b5-4ac5-bc64-0a897a2173f7"/>
    <ds:schemaRef ds:uri="8316766a-56c0-4c7a-96fe-998da8001e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2785</Words>
  <Characters>15881</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Amera Khan</dc:creator>
  <cp:keywords/>
  <dc:description/>
  <cp:lastModifiedBy>Beatrice Kirubi</cp:lastModifiedBy>
  <cp:revision>3</cp:revision>
  <cp:lastPrinted>2022-03-29T08:45:00Z</cp:lastPrinted>
  <dcterms:created xsi:type="dcterms:W3CDTF">2023-11-03T11:11:00Z</dcterms:created>
  <dcterms:modified xsi:type="dcterms:W3CDTF">2023-11-03T11:14:00Z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0x010100AA6ADE42C9FB1346B907865A1D903594</vt:lpwstr>
  </property>
  <property fmtid="{D5CDD505-2E9C-101B-9397-08002B2CF9AE}" pid="3" name="MediaServiceImageTags">
    <vt:lpwstr/>
  </property>
</Properties>
</file>