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30EE6" w14:textId="1EA43BFB" w:rsidR="00736452" w:rsidRPr="00A31E84" w:rsidRDefault="00000000">
      <w:pPr>
        <w:spacing w:after="120" w:line="252" w:lineRule="auto"/>
        <w:contextualSpacing/>
        <w:jc w:val="center"/>
        <w:rPr>
          <w:rFonts w:ascii="Carlito" w:eastAsia="Arial" w:hAnsi="Carlito" w:cs="Arial"/>
          <w:b/>
          <w:color w:val="C00000"/>
          <w:sz w:val="28"/>
        </w:rPr>
      </w:pPr>
      <w:r w:rsidRPr="00A31E84">
        <w:rPr>
          <w:rFonts w:ascii="Carlito" w:eastAsia="Arial" w:hAnsi="Carlito" w:cs="Arial"/>
          <w:b/>
          <w:color w:val="C00000"/>
          <w:sz w:val="28"/>
        </w:rPr>
        <w:t>TB REACH Wave 11</w:t>
      </w:r>
      <w:r w:rsidRPr="00A31E84">
        <w:br/>
      </w:r>
      <w:r w:rsidRPr="00A31E84">
        <w:rPr>
          <w:rFonts w:ascii="Carlito" w:eastAsia="Arial" w:hAnsi="Carlito" w:cs="Arial"/>
          <w:b/>
          <w:color w:val="C00000"/>
          <w:sz w:val="28"/>
        </w:rPr>
        <w:t>Étape 1 - Instructions relatives au budget</w:t>
      </w:r>
    </w:p>
    <w:p w14:paraId="59D42A2F" w14:textId="1F0E8CA0" w:rsidR="00736452" w:rsidRPr="00A31E84" w:rsidRDefault="00000000">
      <w:pPr>
        <w:pStyle w:val="P68B1DB1-Normal1"/>
        <w:spacing w:after="0" w:line="240" w:lineRule="auto"/>
        <w:jc w:val="center"/>
      </w:pPr>
      <w:r w:rsidRPr="00A31E84">
        <w:t xml:space="preserve">Apporter </w:t>
      </w:r>
      <w:r w:rsidR="00925BA1">
        <w:t>d</w:t>
      </w:r>
      <w:r w:rsidRPr="00A31E84">
        <w:t>es approches innovantes de lutte contre la tuberculose</w:t>
      </w:r>
    </w:p>
    <w:p w14:paraId="75EB967F" w14:textId="2D2C0FF1" w:rsidR="00736452" w:rsidRPr="00A31E84" w:rsidRDefault="00000000">
      <w:pPr>
        <w:pStyle w:val="P68B1DB1-Normal1"/>
        <w:spacing w:after="0" w:line="240" w:lineRule="auto"/>
        <w:jc w:val="center"/>
      </w:pPr>
      <w:r w:rsidRPr="00A31E84">
        <w:t>et de promotion de la santé respiratoire à ceux qui en ont besoin</w:t>
      </w:r>
    </w:p>
    <w:p w14:paraId="35B1FDE2" w14:textId="77777777" w:rsidR="00736452" w:rsidRPr="00A31E84" w:rsidRDefault="00736452">
      <w:pPr>
        <w:spacing w:after="0" w:line="240" w:lineRule="auto"/>
        <w:jc w:val="both"/>
      </w:pPr>
    </w:p>
    <w:p w14:paraId="72A277B4" w14:textId="52DF6400" w:rsidR="00736452" w:rsidRPr="00A31E84" w:rsidRDefault="00000000">
      <w:pPr>
        <w:pStyle w:val="P68B1DB1-Normal2"/>
        <w:spacing w:after="0" w:line="240" w:lineRule="auto"/>
        <w:jc w:val="both"/>
      </w:pPr>
      <w:r w:rsidRPr="00A31E84">
        <w:t>Vue d</w:t>
      </w:r>
      <w:r w:rsidR="00A31E84" w:rsidRPr="00A31E84">
        <w:t>’</w:t>
      </w:r>
      <w:r w:rsidRPr="00A31E84">
        <w:t>ensemble</w:t>
      </w:r>
    </w:p>
    <w:p w14:paraId="2448BA1F" w14:textId="77777777" w:rsidR="00736452" w:rsidRPr="00A31E84" w:rsidRDefault="00736452">
      <w:pPr>
        <w:spacing w:after="0" w:line="240" w:lineRule="auto"/>
        <w:jc w:val="both"/>
      </w:pPr>
    </w:p>
    <w:p w14:paraId="7FB34A2A" w14:textId="748EBD03" w:rsidR="00736452" w:rsidRPr="00A31E84" w:rsidRDefault="00000000">
      <w:pPr>
        <w:spacing w:after="0" w:line="240" w:lineRule="auto"/>
        <w:jc w:val="both"/>
      </w:pPr>
      <w:r w:rsidRPr="00A31E84">
        <w:t>Le budget de subvention prévisionnel fait partie du processus de demande et identifie une planification des dépenses pour réussir à mettre en œuvre les activités du projet. Le budget de la subvention s</w:t>
      </w:r>
      <w:r w:rsidR="00A31E84" w:rsidRPr="00A31E84">
        <w:t>’</w:t>
      </w:r>
      <w:r w:rsidRPr="00A31E84">
        <w:t xml:space="preserve">aligne donc sur les objectifs du projet. </w:t>
      </w:r>
    </w:p>
    <w:p w14:paraId="2A7A6601" w14:textId="34A80F1A" w:rsidR="00736452" w:rsidRPr="00A31E84" w:rsidRDefault="00736452">
      <w:pPr>
        <w:spacing w:after="0" w:line="240" w:lineRule="auto"/>
        <w:jc w:val="both"/>
      </w:pPr>
    </w:p>
    <w:p w14:paraId="33B53367" w14:textId="0C358F4C" w:rsidR="00736452" w:rsidRPr="00A31E84" w:rsidRDefault="00000000">
      <w:pPr>
        <w:spacing w:after="0" w:line="240" w:lineRule="auto"/>
        <w:jc w:val="both"/>
      </w:pPr>
      <w:r w:rsidRPr="00A31E84">
        <w:t xml:space="preserve">Le budget de la subvention est structuré en dix catégories différentes et les demandeurs doivent utiliser la Section 6 du formulaire de candidature en ligne pour soumettre leur budget.  Une liste des coûts admissibles par catégorie budgétaire est fournie à la fin de ce document pour faciliter le processus. </w:t>
      </w:r>
    </w:p>
    <w:p w14:paraId="11BDE112" w14:textId="77777777" w:rsidR="00736452" w:rsidRPr="00A31E84" w:rsidRDefault="00736452">
      <w:pPr>
        <w:spacing w:after="0" w:line="240" w:lineRule="auto"/>
        <w:jc w:val="both"/>
      </w:pPr>
    </w:p>
    <w:p w14:paraId="13CF1B07" w14:textId="547A9415" w:rsidR="00736452" w:rsidRPr="00A31E84" w:rsidRDefault="00000000">
      <w:pPr>
        <w:spacing w:after="0" w:line="240" w:lineRule="auto"/>
        <w:jc w:val="both"/>
      </w:pPr>
      <w:r w:rsidRPr="00A31E84">
        <w:t>Pour l</w:t>
      </w:r>
      <w:r w:rsidR="00A31E84" w:rsidRPr="00A31E84">
        <w:t>’</w:t>
      </w:r>
      <w:r w:rsidRPr="00A31E84">
        <w:t>étape 1</w:t>
      </w:r>
      <w:r w:rsidRPr="00A31E84">
        <w:rPr>
          <w:u w:val="single"/>
        </w:rPr>
        <w:t>,</w:t>
      </w:r>
      <w:r w:rsidRPr="00A31E84">
        <w:t xml:space="preserve"> </w:t>
      </w:r>
      <w:r w:rsidRPr="00A31E84">
        <w:rPr>
          <w:u w:val="single"/>
        </w:rPr>
        <w:t>les demandeurs ne sont pas tenus</w:t>
      </w:r>
      <w:r w:rsidRPr="00A31E84">
        <w:t xml:space="preserve"> de soumettre un budget détaillé sous forme de fichier Excel, mais nous les encourageons à fournir les informations détaillées nécessaires dans la section descriptive du budget.   </w:t>
      </w:r>
    </w:p>
    <w:p w14:paraId="32636F15" w14:textId="2BA952FE" w:rsidR="00736452" w:rsidRPr="00A31E84" w:rsidRDefault="00736452">
      <w:pPr>
        <w:spacing w:after="0" w:line="240" w:lineRule="auto"/>
        <w:jc w:val="both"/>
      </w:pPr>
    </w:p>
    <w:p w14:paraId="4FD07931" w14:textId="007C21DA" w:rsidR="00736452" w:rsidRPr="00A31E84" w:rsidRDefault="00000000">
      <w:pPr>
        <w:pStyle w:val="P68B1DB1-Normal2"/>
        <w:spacing w:after="0" w:line="240" w:lineRule="auto"/>
        <w:jc w:val="both"/>
      </w:pPr>
      <w:r w:rsidRPr="00A31E84">
        <w:t>Devise du budget</w:t>
      </w:r>
    </w:p>
    <w:p w14:paraId="4A218622" w14:textId="77777777" w:rsidR="00736452" w:rsidRPr="00A31E84" w:rsidRDefault="00736452">
      <w:pPr>
        <w:spacing w:after="0" w:line="240" w:lineRule="auto"/>
        <w:jc w:val="both"/>
      </w:pPr>
    </w:p>
    <w:p w14:paraId="19E1B65D" w14:textId="0BC61BB4" w:rsidR="00736452" w:rsidRPr="00A31E84" w:rsidRDefault="00000000">
      <w:pPr>
        <w:spacing w:after="0" w:line="240" w:lineRule="auto"/>
        <w:jc w:val="both"/>
      </w:pPr>
      <w:r w:rsidRPr="00A31E84">
        <w:t>Les systèmes de reporting et de budgétisation du Partenariat Halte à la tuberculose sont définis en dollars américains (USD) et toute convention de subvention légale sera signée dans cette devise. Le budget de la subvention sera donc soumis en USD.</w:t>
      </w:r>
    </w:p>
    <w:p w14:paraId="45EF5827" w14:textId="77777777" w:rsidR="00736452" w:rsidRPr="00A31E84" w:rsidRDefault="00736452">
      <w:pPr>
        <w:spacing w:after="0" w:line="240" w:lineRule="auto"/>
        <w:jc w:val="both"/>
      </w:pPr>
    </w:p>
    <w:p w14:paraId="1C62BCC9" w14:textId="7456D8F1" w:rsidR="00736452" w:rsidRPr="00A31E84" w:rsidRDefault="00000000">
      <w:pPr>
        <w:spacing w:after="0" w:line="240" w:lineRule="auto"/>
        <w:jc w:val="both"/>
      </w:pPr>
      <w:r w:rsidRPr="00A31E84">
        <w:t xml:space="preserve">Si les demandeurs choisissent de soumettre un budget dans la devise locale, le taux de change du Forex (du mois où ils remplissent leur demande) doit être indiqué dans la cellule du modèle budgétaire détaillé. Cela convertira automatiquement le budget en devise locale en USD. </w:t>
      </w:r>
    </w:p>
    <w:p w14:paraId="7B5F2189" w14:textId="0B9686C6" w:rsidR="00736452" w:rsidRPr="00A31E84" w:rsidRDefault="00736452">
      <w:pPr>
        <w:spacing w:after="0" w:line="240" w:lineRule="auto"/>
        <w:jc w:val="both"/>
      </w:pPr>
    </w:p>
    <w:p w14:paraId="28BD131A" w14:textId="3C4E13A6" w:rsidR="00736452" w:rsidRPr="00A31E84" w:rsidRDefault="00000000">
      <w:pPr>
        <w:pStyle w:val="P68B1DB1-Normal2"/>
        <w:spacing w:after="0" w:line="240" w:lineRule="auto"/>
        <w:jc w:val="both"/>
      </w:pPr>
      <w:r w:rsidRPr="00A31E84">
        <w:t>Bénéficiaire principal et sous-bénéficiaires</w:t>
      </w:r>
    </w:p>
    <w:p w14:paraId="489595E2" w14:textId="77777777" w:rsidR="00736452" w:rsidRPr="00A31E84" w:rsidRDefault="00736452">
      <w:pPr>
        <w:spacing w:after="0" w:line="240" w:lineRule="auto"/>
        <w:jc w:val="both"/>
      </w:pPr>
    </w:p>
    <w:p w14:paraId="1AA9B824" w14:textId="6FDBA9D5" w:rsidR="00736452" w:rsidRPr="00A31E84" w:rsidRDefault="00000000">
      <w:pPr>
        <w:spacing w:after="0" w:line="240" w:lineRule="auto"/>
        <w:jc w:val="both"/>
      </w:pPr>
      <w:r w:rsidRPr="00A31E84">
        <w:t>Le demandeur principal sera le Bénéficiaire principal (BP) de la subvention et doit être en mesure de recevoir l</w:t>
      </w:r>
      <w:r w:rsidR="00A31E84" w:rsidRPr="00A31E84">
        <w:t>’</w:t>
      </w:r>
      <w:r w:rsidRPr="00A31E84">
        <w:t>intégralité de la subvention directement de TB REACH du Partenariat Halte à la tuberculose/UNOPS et de mettre directement en œuvre plus de 50 % des fonds. L</w:t>
      </w:r>
      <w:r w:rsidR="00A31E84" w:rsidRPr="00A31E84">
        <w:t>’</w:t>
      </w:r>
      <w:r w:rsidRPr="00A31E84">
        <w:t>accord de subvention sera signé avec le BP qui sera responsable de la déclaration des rapports techniques et financiers et du décaissement des fonds à d</w:t>
      </w:r>
      <w:r w:rsidR="00A31E84" w:rsidRPr="00A31E84">
        <w:t>’</w:t>
      </w:r>
      <w:r w:rsidRPr="00A31E84">
        <w:t xml:space="preserve">autres partenaires de mise en œuvre identifiés comme Sous-bénéficiaires (SB). </w:t>
      </w:r>
    </w:p>
    <w:p w14:paraId="7979A80C" w14:textId="77777777" w:rsidR="00736452" w:rsidRPr="00A31E84" w:rsidRDefault="00736452">
      <w:pPr>
        <w:spacing w:after="0" w:line="240" w:lineRule="auto"/>
        <w:jc w:val="both"/>
      </w:pPr>
    </w:p>
    <w:p w14:paraId="3CFE91AB" w14:textId="32D7B9F4" w:rsidR="00736452" w:rsidRPr="00A31E84" w:rsidRDefault="00000000">
      <w:pPr>
        <w:spacing w:after="0" w:line="240" w:lineRule="auto"/>
        <w:jc w:val="both"/>
      </w:pPr>
      <w:r w:rsidRPr="00A31E84">
        <w:t xml:space="preserve">Dans la demande de budget, le BP doit indiquer le budget et la nature des activités couvertes. Le cumul des budgets alloués aux SB ne peut dépasser 50 % du budget total. </w:t>
      </w:r>
    </w:p>
    <w:p w14:paraId="4A02310C" w14:textId="7AA4A381" w:rsidR="00736452" w:rsidRPr="00A31E84" w:rsidRDefault="00736452">
      <w:pPr>
        <w:spacing w:after="0" w:line="240" w:lineRule="auto"/>
        <w:jc w:val="both"/>
      </w:pPr>
    </w:p>
    <w:p w14:paraId="19219522" w14:textId="1EA91606" w:rsidR="00736452" w:rsidRPr="00A31E84" w:rsidRDefault="00000000">
      <w:pPr>
        <w:pStyle w:val="P68B1DB1-Normal2"/>
        <w:spacing w:after="0" w:line="240" w:lineRule="auto"/>
        <w:jc w:val="both"/>
      </w:pPr>
      <w:r w:rsidRPr="00A31E84">
        <w:t>Cofinancement</w:t>
      </w:r>
    </w:p>
    <w:p w14:paraId="4A8B1FFE" w14:textId="244C2673" w:rsidR="00736452" w:rsidRPr="00A31E84" w:rsidRDefault="00736452">
      <w:pPr>
        <w:spacing w:after="0" w:line="240" w:lineRule="auto"/>
        <w:jc w:val="both"/>
      </w:pPr>
    </w:p>
    <w:p w14:paraId="140979D1" w14:textId="53D2DAED" w:rsidR="00736452" w:rsidRPr="00A31E84" w:rsidRDefault="00000000">
      <w:pPr>
        <w:spacing w:after="0" w:line="240" w:lineRule="auto"/>
        <w:jc w:val="both"/>
      </w:pPr>
      <w:r w:rsidRPr="00A31E84">
        <w:t>Nous définissons le cofinancement comme un financement ou des dons provenant d</w:t>
      </w:r>
      <w:r w:rsidR="00A31E84" w:rsidRPr="00A31E84">
        <w:t>’</w:t>
      </w:r>
      <w:r w:rsidRPr="00A31E84">
        <w:t>autres sources, qui s</w:t>
      </w:r>
      <w:r w:rsidR="00A31E84" w:rsidRPr="00A31E84">
        <w:t>’</w:t>
      </w:r>
      <w:r w:rsidRPr="00A31E84">
        <w:t>ajoutent au financement de la subvention TB REACH afin d</w:t>
      </w:r>
      <w:r w:rsidR="00A31E84" w:rsidRPr="00A31E84">
        <w:t>’</w:t>
      </w:r>
      <w:r w:rsidRPr="00A31E84">
        <w:t>atteindre les objectifs du projet. Cela comprend le soutien financier et les dons en nature, y compris les médicaments, l</w:t>
      </w:r>
      <w:r w:rsidR="00A31E84" w:rsidRPr="00A31E84">
        <w:t>’</w:t>
      </w:r>
      <w:r w:rsidRPr="00A31E84">
        <w:t xml:space="preserve">équipement, le personnel, etc. Si vous recevez un cofinancement, veuillez en indiquer le montant et inclure une description des activités couvertes. </w:t>
      </w:r>
    </w:p>
    <w:p w14:paraId="4F26C852" w14:textId="1DDFC8A2" w:rsidR="00736452" w:rsidRPr="00A31E84" w:rsidRDefault="00736452">
      <w:pPr>
        <w:spacing w:after="0" w:line="240" w:lineRule="auto"/>
        <w:jc w:val="both"/>
      </w:pPr>
    </w:p>
    <w:p w14:paraId="2D20B656" w14:textId="04691FCA" w:rsidR="00736452" w:rsidRPr="00A31E84" w:rsidRDefault="00000000">
      <w:pPr>
        <w:pStyle w:val="P68B1DB1-Normal2"/>
        <w:spacing w:after="0" w:line="240" w:lineRule="auto"/>
        <w:jc w:val="both"/>
      </w:pPr>
      <w:r w:rsidRPr="00A31E84">
        <w:t xml:space="preserve">Plafond de financement </w:t>
      </w:r>
    </w:p>
    <w:p w14:paraId="3C58589C" w14:textId="77777777" w:rsidR="00736452" w:rsidRPr="00A31E84" w:rsidRDefault="00736452">
      <w:pPr>
        <w:spacing w:after="0" w:line="240" w:lineRule="auto"/>
        <w:jc w:val="both"/>
      </w:pPr>
    </w:p>
    <w:p w14:paraId="3E1A7DC2" w14:textId="06ACEC97" w:rsidR="00736452" w:rsidRPr="00A31E84" w:rsidRDefault="00000000">
      <w:pPr>
        <w:spacing w:after="0" w:line="240" w:lineRule="auto"/>
        <w:jc w:val="both"/>
      </w:pPr>
      <w:r w:rsidRPr="00A31E84">
        <w:lastRenderedPageBreak/>
        <w:t>Dans Wave 11, tous les projets financés seront plafonnés à 550 000 USD de subvention. Le montant maximal du financement pouvant être demandé dépend du chiffre d</w:t>
      </w:r>
      <w:r w:rsidR="00A31E84" w:rsidRPr="00A31E84">
        <w:t>’</w:t>
      </w:r>
      <w:r w:rsidRPr="00A31E84">
        <w:t>affaires annuel du BP. Le montant total demandé ne doit pas dépasser 5 fois le montant de l</w:t>
      </w:r>
      <w:r w:rsidR="00A31E84" w:rsidRPr="00A31E84">
        <w:t>’</w:t>
      </w:r>
      <w:r w:rsidRPr="00A31E84">
        <w:t>actif total annuel le plus récent du BP, tel qu</w:t>
      </w:r>
      <w:r w:rsidR="00A31E84" w:rsidRPr="00A31E84">
        <w:t>’</w:t>
      </w:r>
      <w:r w:rsidRPr="00A31E84">
        <w:t>il ressort de l</w:t>
      </w:r>
      <w:r w:rsidR="00A31E84" w:rsidRPr="00A31E84">
        <w:t>’</w:t>
      </w:r>
      <w:r w:rsidRPr="00A31E84">
        <w:t xml:space="preserve">audit le plus récent. </w:t>
      </w:r>
    </w:p>
    <w:p w14:paraId="658CA9D7" w14:textId="34C3C465" w:rsidR="00736452" w:rsidRPr="00A31E84" w:rsidRDefault="00736452">
      <w:pPr>
        <w:spacing w:after="0" w:line="240" w:lineRule="auto"/>
        <w:jc w:val="both"/>
      </w:pPr>
    </w:p>
    <w:p w14:paraId="701A4F09" w14:textId="3E44841A" w:rsidR="00736452" w:rsidRPr="00A31E84" w:rsidRDefault="00000000">
      <w:pPr>
        <w:pStyle w:val="P68B1DB1-Normal2"/>
        <w:spacing w:after="0" w:line="240" w:lineRule="auto"/>
        <w:jc w:val="both"/>
      </w:pPr>
      <w:r w:rsidRPr="00A31E84">
        <w:t>Durée et budget de la subvention</w:t>
      </w:r>
    </w:p>
    <w:p w14:paraId="5E969B91" w14:textId="19575505" w:rsidR="00736452" w:rsidRPr="00A31E84" w:rsidRDefault="00736452">
      <w:pPr>
        <w:spacing w:after="0" w:line="240" w:lineRule="auto"/>
        <w:jc w:val="both"/>
      </w:pPr>
    </w:p>
    <w:p w14:paraId="31DE560F" w14:textId="320F170D" w:rsidR="00736452" w:rsidRPr="00A31E84" w:rsidRDefault="00000000">
      <w:pPr>
        <w:spacing w:after="0" w:line="240" w:lineRule="auto"/>
        <w:jc w:val="both"/>
      </w:pPr>
      <w:r w:rsidRPr="00A31E84">
        <w:t>La durée des subventions Wave 11 peut aller jusqu</w:t>
      </w:r>
      <w:r w:rsidR="00A31E84" w:rsidRPr="00A31E84">
        <w:t>’</w:t>
      </w:r>
      <w:r w:rsidRPr="00A31E84">
        <w:t>à 18 mois, dont 3 mois de préparation, 3 mois de clôture et 12 mois de mise en œuvre. Veuillez vous assurer que le budget concorde avec le calendrier de votre activité.</w:t>
      </w:r>
    </w:p>
    <w:p w14:paraId="5650F842" w14:textId="7B50E40C" w:rsidR="00736452" w:rsidRPr="00A31E84" w:rsidRDefault="00736452">
      <w:pPr>
        <w:spacing w:after="0" w:line="240" w:lineRule="auto"/>
        <w:jc w:val="both"/>
      </w:pPr>
    </w:p>
    <w:p w14:paraId="6949AC06" w14:textId="4A595232" w:rsidR="00736452" w:rsidRPr="00A31E84" w:rsidRDefault="00736452">
      <w:pPr>
        <w:spacing w:after="0" w:line="240" w:lineRule="auto"/>
        <w:jc w:val="both"/>
      </w:pPr>
    </w:p>
    <w:p w14:paraId="656D82D2" w14:textId="7F93A844" w:rsidR="00736452" w:rsidRPr="00A31E84" w:rsidRDefault="00000000">
      <w:pPr>
        <w:pStyle w:val="P68B1DB1-Normal2"/>
        <w:spacing w:after="0" w:line="240" w:lineRule="auto"/>
        <w:jc w:val="both"/>
      </w:pPr>
      <w:r w:rsidRPr="00A31E84">
        <w:t>Considérations spéciales pour l</w:t>
      </w:r>
      <w:r w:rsidR="00A31E84" w:rsidRPr="00A31E84">
        <w:t>’</w:t>
      </w:r>
      <w:r w:rsidRPr="00A31E84">
        <w:t>Inde, l</w:t>
      </w:r>
      <w:r w:rsidR="00A31E84" w:rsidRPr="00A31E84">
        <w:t>’</w:t>
      </w:r>
      <w:r w:rsidRPr="00A31E84">
        <w:t xml:space="preserve">Afghanistan et le Vietnam </w:t>
      </w:r>
    </w:p>
    <w:p w14:paraId="0C1B13D2" w14:textId="1541E56F" w:rsidR="00736452" w:rsidRPr="00A31E84" w:rsidRDefault="00736452">
      <w:pPr>
        <w:spacing w:after="0" w:line="240" w:lineRule="auto"/>
        <w:jc w:val="both"/>
      </w:pPr>
    </w:p>
    <w:p w14:paraId="1C0B7FCC" w14:textId="69C9ECFE" w:rsidR="00736452" w:rsidRPr="00A31E84" w:rsidRDefault="00000000">
      <w:pPr>
        <w:spacing w:after="0" w:line="240" w:lineRule="auto"/>
        <w:jc w:val="both"/>
      </w:pPr>
      <w:r w:rsidRPr="00A31E84">
        <w:t>Pour la mise en œuvre de projets en Inde, les demandeurs doivent être enregistrés et exercer leurs activités en vertu de la loi de 2020 portant modification de la loi sur les contributions étrangères (règlements) introduite par le gouvernement de la République de l</w:t>
      </w:r>
      <w:r w:rsidR="00A31E84" w:rsidRPr="00A31E84">
        <w:t>’</w:t>
      </w:r>
      <w:r w:rsidRPr="00A31E84">
        <w:t>Inde le 28 septembre 2020.</w:t>
      </w:r>
    </w:p>
    <w:p w14:paraId="11CC6DFD" w14:textId="77777777" w:rsidR="00736452" w:rsidRPr="00A31E84" w:rsidRDefault="00736452">
      <w:pPr>
        <w:spacing w:after="0" w:line="240" w:lineRule="auto"/>
        <w:jc w:val="both"/>
      </w:pPr>
    </w:p>
    <w:p w14:paraId="3A56B5DD" w14:textId="02E9FD27" w:rsidR="00736452" w:rsidRPr="00A31E84" w:rsidRDefault="00000000">
      <w:pPr>
        <w:spacing w:after="0" w:line="240" w:lineRule="auto"/>
        <w:jc w:val="both"/>
      </w:pPr>
      <w:r w:rsidRPr="00A31E84">
        <w:t>En raison de la situation politique en Afghanistan, les virements internationaux vers le pays sont difficiles. Au moment de la rédaction de la présente note, le système des Nations Unies avait autorisé une seule banque à recevoir des fonds internationaux. Des conseils supplémentaires seront fournis aux demandeurs retenus, mais des retards dans les paiements sont attendus et un plan de secours leur est recommandé (utilisation des ressources de base, etc.).</w:t>
      </w:r>
    </w:p>
    <w:p w14:paraId="7D23A24D" w14:textId="77777777" w:rsidR="00736452" w:rsidRPr="00A31E84" w:rsidRDefault="00736452">
      <w:pPr>
        <w:spacing w:after="0" w:line="240" w:lineRule="auto"/>
        <w:jc w:val="both"/>
      </w:pPr>
    </w:p>
    <w:p w14:paraId="0302BBA3" w14:textId="133D01ED" w:rsidR="00736452" w:rsidRPr="00A31E84" w:rsidRDefault="00000000">
      <w:pPr>
        <w:spacing w:after="0" w:line="240" w:lineRule="auto"/>
        <w:jc w:val="both"/>
      </w:pPr>
      <w:r w:rsidRPr="00A31E84">
        <w:t>Les demandeurs vietnamiens doivent s</w:t>
      </w:r>
      <w:r w:rsidR="00A31E84" w:rsidRPr="00A31E84">
        <w:t>’</w:t>
      </w:r>
      <w:r w:rsidRPr="00A31E84">
        <w:t>assurer de bien comprendre leur statut juridique et de connaître leur autorité compétente. Cela s</w:t>
      </w:r>
      <w:r w:rsidR="00A31E84" w:rsidRPr="00A31E84">
        <w:t>’</w:t>
      </w:r>
      <w:r w:rsidRPr="00A31E84">
        <w:t>applique à tous les types de demandeurs potentiels, qu</w:t>
      </w:r>
      <w:r w:rsidR="00A31E84" w:rsidRPr="00A31E84">
        <w:t>’</w:t>
      </w:r>
      <w:r w:rsidRPr="00A31E84">
        <w:t>ils soient gouvernementaux ou non gouvernementaux et au sein de ces derniers, qu</w:t>
      </w:r>
      <w:r w:rsidR="00A31E84" w:rsidRPr="00A31E84">
        <w:t>’</w:t>
      </w:r>
      <w:r w:rsidRPr="00A31E84">
        <w:t>ils soient locaux ou internationaux. Les demandeurs doivent également s</w:t>
      </w:r>
      <w:r w:rsidR="00A31E84" w:rsidRPr="00A31E84">
        <w:t>’</w:t>
      </w:r>
      <w:r w:rsidRPr="00A31E84">
        <w:t>assurer de comprendre les réglementations applicables à la réception et à la mise en œuvre de fonds étrangers à des fins caritatives, telles que le Décret 114/2021/NĐ-CP et le Décret 80/2020/NĐ-CP sur la réception et l</w:t>
      </w:r>
      <w:r w:rsidR="00A31E84" w:rsidRPr="00A31E84">
        <w:t>’</w:t>
      </w:r>
      <w:r w:rsidRPr="00A31E84">
        <w:t>utilisation de financement APD et hors APD, respectivement, ainsi que toutes les lois applicables en matière de fiscalité et en particulier de TVA. À des stades ultérieurs, les demandeurs peuvent être tenus de fournir des documents pour démontrer leur compréhension et leur expérience dans ces domaines.</w:t>
      </w:r>
    </w:p>
    <w:p w14:paraId="5EFCBD78" w14:textId="77777777" w:rsidR="00736452" w:rsidRPr="00A31E84" w:rsidRDefault="00736452">
      <w:pPr>
        <w:spacing w:after="0" w:line="240" w:lineRule="auto"/>
        <w:jc w:val="both"/>
      </w:pPr>
    </w:p>
    <w:p w14:paraId="378434F1" w14:textId="50160339" w:rsidR="00736452" w:rsidRPr="00A31E84" w:rsidRDefault="00736452">
      <w:pPr>
        <w:spacing w:after="0" w:line="240" w:lineRule="auto"/>
        <w:jc w:val="both"/>
        <w:rPr>
          <w:rFonts w:eastAsiaTheme="minorHAnsi"/>
        </w:rPr>
      </w:pPr>
    </w:p>
    <w:p w14:paraId="55D5FA55" w14:textId="467D4C58" w:rsidR="00736452" w:rsidRPr="00A31E84" w:rsidRDefault="00000000">
      <w:pPr>
        <w:pStyle w:val="P68B1DB1-Normal2"/>
        <w:spacing w:after="0" w:line="240" w:lineRule="auto"/>
        <w:jc w:val="both"/>
      </w:pPr>
      <w:r w:rsidRPr="00A31E84">
        <w:t>Directives budgétaires de la proposition</w:t>
      </w:r>
    </w:p>
    <w:p w14:paraId="264DB55E" w14:textId="77777777" w:rsidR="00736452" w:rsidRPr="00A31E84" w:rsidRDefault="00736452">
      <w:pPr>
        <w:spacing w:after="0" w:line="240" w:lineRule="auto"/>
        <w:jc w:val="both"/>
        <w:rPr>
          <w:rFonts w:eastAsiaTheme="minorHAnsi"/>
        </w:rPr>
      </w:pPr>
    </w:p>
    <w:p w14:paraId="2D692370" w14:textId="34DD5AE4" w:rsidR="00736452" w:rsidRPr="00A31E84" w:rsidRDefault="00000000">
      <w:pPr>
        <w:pStyle w:val="P68B1DB1-Normal3"/>
        <w:spacing w:after="60" w:line="240" w:lineRule="auto"/>
      </w:pPr>
      <w:r w:rsidRPr="00A31E84">
        <w:t>Catégorie budgétaire 1 : ressources humaines</w:t>
      </w:r>
    </w:p>
    <w:p w14:paraId="414744F6" w14:textId="1D30178E" w:rsidR="00736452" w:rsidRPr="00A31E84" w:rsidRDefault="00000000">
      <w:pPr>
        <w:pStyle w:val="P68B1DB1-Normal4"/>
        <w:numPr>
          <w:ilvl w:val="0"/>
          <w:numId w:val="4"/>
        </w:numPr>
        <w:spacing w:after="60" w:line="240" w:lineRule="auto"/>
        <w:ind w:left="851" w:hanging="294"/>
        <w:jc w:val="both"/>
      </w:pPr>
      <w:r w:rsidRPr="00A31E84">
        <w:t>Les dépenses en ressources humaines de bureau ne peuvent dépasser 15 % du budget total demandé.</w:t>
      </w:r>
    </w:p>
    <w:p w14:paraId="662D5639" w14:textId="0665693C" w:rsidR="00736452" w:rsidRPr="00A31E84" w:rsidRDefault="00000000">
      <w:pPr>
        <w:numPr>
          <w:ilvl w:val="0"/>
          <w:numId w:val="4"/>
        </w:numPr>
        <w:spacing w:after="0" w:line="240" w:lineRule="auto"/>
        <w:ind w:left="851" w:hanging="294"/>
        <w:jc w:val="both"/>
      </w:pPr>
      <w:r w:rsidRPr="00A31E84">
        <w:t>Si votre projet prévoit d</w:t>
      </w:r>
      <w:r w:rsidR="00A31E84" w:rsidRPr="00A31E84">
        <w:t>’</w:t>
      </w:r>
      <w:r w:rsidRPr="00A31E84">
        <w:t>embaucher des personnes dans la communauté pour la prestation de services, elles peuvent être incluses dans la catégorie budgétaire des activités. La catégorie des ressources humaines devrait être limitée aux employés de bureau, aux superviseurs, aux gestionnaires et aux consultants.</w:t>
      </w:r>
    </w:p>
    <w:p w14:paraId="13D7246A" w14:textId="5F63FC61" w:rsidR="00736452" w:rsidRPr="00A31E84" w:rsidRDefault="00736452">
      <w:pPr>
        <w:spacing w:after="0" w:line="240" w:lineRule="auto"/>
        <w:ind w:left="851" w:hanging="294"/>
        <w:jc w:val="both"/>
      </w:pPr>
    </w:p>
    <w:p w14:paraId="05B7D0F5" w14:textId="45002E8A" w:rsidR="00736452" w:rsidRPr="00A31E84" w:rsidRDefault="00000000">
      <w:pPr>
        <w:pStyle w:val="P68B1DB1-Normal3"/>
        <w:spacing w:after="0" w:line="240" w:lineRule="auto"/>
        <w:jc w:val="both"/>
      </w:pPr>
      <w:r w:rsidRPr="00A31E84">
        <w:t>Catégorie budgétaire 2 : activités</w:t>
      </w:r>
    </w:p>
    <w:p w14:paraId="293861FC" w14:textId="3EEDD7A5" w:rsidR="00736452" w:rsidRPr="00A31E84" w:rsidRDefault="00000000">
      <w:pPr>
        <w:pStyle w:val="ListParagraph"/>
        <w:numPr>
          <w:ilvl w:val="0"/>
          <w:numId w:val="2"/>
        </w:numPr>
        <w:spacing w:after="0" w:line="240" w:lineRule="auto"/>
        <w:jc w:val="both"/>
      </w:pPr>
      <w:r w:rsidRPr="00A31E84">
        <w:t>Cette ligne budgétaire devrait inclure toutes les dépenses liées à la mise en œuvre des activités du projet et devrait être le principal facteur de coût de votre intervention proposée.</w:t>
      </w:r>
    </w:p>
    <w:p w14:paraId="78FCBF68" w14:textId="1C898139" w:rsidR="00736452" w:rsidRPr="00A31E84" w:rsidRDefault="00000000">
      <w:pPr>
        <w:pStyle w:val="ListParagraph"/>
        <w:numPr>
          <w:ilvl w:val="0"/>
          <w:numId w:val="2"/>
        </w:numPr>
        <w:spacing w:after="0" w:line="240" w:lineRule="auto"/>
        <w:jc w:val="both"/>
      </w:pPr>
      <w:r w:rsidRPr="00A31E84">
        <w:t>Le travail sur le terrain/lié à la communauté, les incitations, les formations et les accords avec les sous-bénéficiaires sont quelques exemples de coûts admissibles dans la catégorie des activités.</w:t>
      </w:r>
    </w:p>
    <w:p w14:paraId="0679855E" w14:textId="77DB266E" w:rsidR="00736452" w:rsidRPr="00A31E84" w:rsidRDefault="00736452">
      <w:pPr>
        <w:spacing w:after="0" w:line="240" w:lineRule="auto"/>
        <w:jc w:val="both"/>
      </w:pPr>
    </w:p>
    <w:p w14:paraId="5A126406" w14:textId="0A3890C3" w:rsidR="00736452" w:rsidRPr="00A31E84" w:rsidRDefault="00000000">
      <w:pPr>
        <w:pStyle w:val="P68B1DB1-Normal3"/>
        <w:spacing w:after="0" w:line="240" w:lineRule="auto"/>
        <w:jc w:val="both"/>
      </w:pPr>
      <w:r w:rsidRPr="00A31E84">
        <w:lastRenderedPageBreak/>
        <w:t xml:space="preserve">Catégorie budgétaire 3 : frais de voyage liés au projet </w:t>
      </w:r>
    </w:p>
    <w:p w14:paraId="6302710C" w14:textId="4FFE027F" w:rsidR="00736452" w:rsidRPr="00A31E84" w:rsidRDefault="00000000">
      <w:pPr>
        <w:numPr>
          <w:ilvl w:val="0"/>
          <w:numId w:val="4"/>
        </w:numPr>
        <w:spacing w:after="60" w:line="240" w:lineRule="auto"/>
        <w:ind w:left="851" w:hanging="294"/>
        <w:jc w:val="both"/>
      </w:pPr>
      <w:r w:rsidRPr="00A31E84">
        <w:t>Cette ligne budgétaire doit inclure toutes les dépenses des déplacements liées au projet.</w:t>
      </w:r>
    </w:p>
    <w:p w14:paraId="20CF6D57" w14:textId="65E18769" w:rsidR="00736452" w:rsidRPr="00A31E84" w:rsidRDefault="00000000">
      <w:pPr>
        <w:numPr>
          <w:ilvl w:val="0"/>
          <w:numId w:val="4"/>
        </w:numPr>
        <w:spacing w:after="60" w:line="240" w:lineRule="auto"/>
        <w:ind w:left="851" w:hanging="294"/>
        <w:jc w:val="both"/>
      </w:pPr>
      <w:r w:rsidRPr="00A31E84">
        <w:t>Cela devrait inclure la participation de deux personnes à l</w:t>
      </w:r>
      <w:r w:rsidR="00A31E84" w:rsidRPr="00A31E84">
        <w:t>’</w:t>
      </w:r>
      <w:r w:rsidRPr="00A31E84">
        <w:t>atelier TB REACH.</w:t>
      </w:r>
    </w:p>
    <w:p w14:paraId="02FFB06C" w14:textId="305DE5F3" w:rsidR="00736452" w:rsidRPr="00A31E84" w:rsidRDefault="00000000">
      <w:pPr>
        <w:numPr>
          <w:ilvl w:val="0"/>
          <w:numId w:val="4"/>
        </w:numPr>
        <w:spacing w:after="60" w:line="240" w:lineRule="auto"/>
        <w:ind w:left="851" w:hanging="294"/>
        <w:jc w:val="both"/>
      </w:pPr>
      <w:r w:rsidRPr="00A31E84">
        <w:t>Les dates et le lieu de la réunion ne sont pas encore finalisés, mais veuillez utiliser les informations suivantes pour vous aider à prévoir un budget :</w:t>
      </w:r>
    </w:p>
    <w:p w14:paraId="13F3E2E0" w14:textId="2C97DC2D" w:rsidR="00736452" w:rsidRPr="00A31E84" w:rsidRDefault="00000000">
      <w:pPr>
        <w:numPr>
          <w:ilvl w:val="1"/>
          <w:numId w:val="4"/>
        </w:numPr>
        <w:spacing w:after="60" w:line="240" w:lineRule="auto"/>
        <w:jc w:val="both"/>
      </w:pPr>
      <w:r w:rsidRPr="00A31E84">
        <w:t>L</w:t>
      </w:r>
      <w:r w:rsidR="00A31E84" w:rsidRPr="00A31E84">
        <w:t>’</w:t>
      </w:r>
      <w:r w:rsidRPr="00A31E84">
        <w:t>atelier REACH POUR les bénéficiaires aura très probablement lieu en Afrique (potentiellement à Nairobi) peu de temps après l</w:t>
      </w:r>
      <w:r w:rsidR="00A31E84" w:rsidRPr="00A31E84">
        <w:t>’</w:t>
      </w:r>
      <w:r w:rsidRPr="00A31E84">
        <w:t>octroi de la subvention. Il se tiendra pendant 4 à 5 jours et les frais de déplacement pour 2 personnes par projet sélectionné doivent être prévus au budget.</w:t>
      </w:r>
    </w:p>
    <w:p w14:paraId="42EEABC1" w14:textId="1A900379" w:rsidR="00736452" w:rsidRPr="00A31E84" w:rsidRDefault="00000000">
      <w:pPr>
        <w:numPr>
          <w:ilvl w:val="1"/>
          <w:numId w:val="4"/>
        </w:numPr>
        <w:spacing w:after="60" w:line="240" w:lineRule="auto"/>
        <w:jc w:val="both"/>
      </w:pPr>
      <w:r w:rsidRPr="00A31E84">
        <w:t>Veuillez allouer un montant suffisant pour les billets d</w:t>
      </w:r>
      <w:r w:rsidR="00A31E84" w:rsidRPr="00A31E84">
        <w:t>’</w:t>
      </w:r>
      <w:r w:rsidRPr="00A31E84">
        <w:t xml:space="preserve">avion, les indemnités journalières (6 nuits au total) et les visas. </w:t>
      </w:r>
    </w:p>
    <w:p w14:paraId="0BBEFAAA" w14:textId="77777777" w:rsidR="00736452" w:rsidRPr="00A31E84" w:rsidRDefault="00736452">
      <w:pPr>
        <w:spacing w:after="0" w:line="240" w:lineRule="auto"/>
        <w:jc w:val="both"/>
        <w:rPr>
          <w:b/>
        </w:rPr>
      </w:pPr>
    </w:p>
    <w:p w14:paraId="1F69A0B8" w14:textId="7B73F088" w:rsidR="00736452" w:rsidRPr="00A31E84" w:rsidRDefault="00000000">
      <w:pPr>
        <w:spacing w:after="0" w:line="240" w:lineRule="auto"/>
        <w:jc w:val="both"/>
        <w:rPr>
          <w:u w:val="single"/>
        </w:rPr>
      </w:pPr>
      <w:r w:rsidRPr="00A31E84">
        <w:rPr>
          <w:u w:val="single"/>
        </w:rPr>
        <w:t>Catégorie budgétaire 4 : fonds d</w:t>
      </w:r>
      <w:r w:rsidR="00A31E84" w:rsidRPr="00A31E84">
        <w:rPr>
          <w:u w:val="single"/>
        </w:rPr>
        <w:t>’</w:t>
      </w:r>
      <w:r w:rsidRPr="00A31E84">
        <w:rPr>
          <w:u w:val="single"/>
        </w:rPr>
        <w:t xml:space="preserve">approvisionnement central retenus à la source pour le </w:t>
      </w:r>
      <w:r w:rsidRPr="00A31E84">
        <w:t xml:space="preserve">Global Drug Facility (GDF) </w:t>
      </w:r>
      <w:r w:rsidRPr="00A31E84">
        <w:rPr>
          <w:u w:val="single"/>
        </w:rPr>
        <w:t>(c.-à-d. tests moléculaires rapides, tests pour l</w:t>
      </w:r>
      <w:r w:rsidR="00A31E84" w:rsidRPr="00A31E84">
        <w:rPr>
          <w:u w:val="single"/>
        </w:rPr>
        <w:t>’</w:t>
      </w:r>
      <w:r w:rsidRPr="00A31E84">
        <w:rPr>
          <w:u w:val="single"/>
        </w:rPr>
        <w:t>infection tuberculeuse, équipement radiologique) *</w:t>
      </w:r>
    </w:p>
    <w:p w14:paraId="26121A93" w14:textId="12AC2CDC" w:rsidR="00736452" w:rsidRPr="00A31E84" w:rsidRDefault="00000000">
      <w:pPr>
        <w:jc w:val="both"/>
      </w:pPr>
      <w:r w:rsidRPr="00A31E84">
        <w:t>Si les demandeurs N</w:t>
      </w:r>
      <w:r w:rsidR="00A31E84" w:rsidRPr="00A31E84">
        <w:t>’</w:t>
      </w:r>
      <w:r w:rsidRPr="00A31E84">
        <w:t>ont PAS de capacité d</w:t>
      </w:r>
      <w:r w:rsidR="00A31E84" w:rsidRPr="00A31E84">
        <w:t>’</w:t>
      </w:r>
      <w:r w:rsidRPr="00A31E84">
        <w:t>approvisionnement pour les produits de diagnostic qui sont disponibles par le biais du GDF, TB REACH peut les aider à se procurer des produits de manière centralisée via GDF. L</w:t>
      </w:r>
      <w:r w:rsidR="00A31E84" w:rsidRPr="00A31E84">
        <w:t>’</w:t>
      </w:r>
      <w:r w:rsidRPr="00A31E84">
        <w:t>approvisionnement central de TB REACH retiendra le montant des fonds indiqué dans la catégorie 4 à la source et effectuera des paiements directement aux fournisseurs.</w:t>
      </w:r>
    </w:p>
    <w:p w14:paraId="3A7555E9" w14:textId="1D71B6B3" w:rsidR="00736452" w:rsidRPr="00A31E84" w:rsidRDefault="00000000">
      <w:pPr>
        <w:jc w:val="both"/>
      </w:pPr>
      <w:r w:rsidRPr="00A31E84">
        <w:t xml:space="preserve">En plus des produits GeneXpert (systèmes GeneXpert, dont la nouvelle technologie 10 couleurs, les cartouches Xpert MTB/RIF, </w:t>
      </w:r>
      <w:r w:rsidRPr="00A31E84">
        <w:rPr>
          <w:color w:val="000000" w:themeColor="text1"/>
        </w:rPr>
        <w:t>les cartouches MTB/XDR</w:t>
      </w:r>
      <w:r w:rsidRPr="00A31E84">
        <w:t xml:space="preserve"> ou les cartouches MTB/RIF Ultra, les kits d</w:t>
      </w:r>
      <w:r w:rsidR="00A31E84" w:rsidRPr="00A31E84">
        <w:t>’</w:t>
      </w:r>
      <w:r w:rsidRPr="00A31E84">
        <w:t>étalonnage et les garanties), l</w:t>
      </w:r>
      <w:r w:rsidR="00A31E84" w:rsidRPr="00A31E84">
        <w:t>’</w:t>
      </w:r>
      <w:r w:rsidRPr="00A31E84">
        <w:t>approvisionnement central de TB REACH peut potentiellement faciliter les commandes pour d</w:t>
      </w:r>
      <w:r w:rsidR="00A31E84" w:rsidRPr="00A31E84">
        <w:t>’</w:t>
      </w:r>
      <w:r w:rsidRPr="00A31E84">
        <w:t xml:space="preserve">autres articles, dont des tests de diagnostic ou des outils de dépistage qui sont dans le catalogue de GDF. </w:t>
      </w:r>
    </w:p>
    <w:p w14:paraId="7715BDAA" w14:textId="64985C38" w:rsidR="00736452" w:rsidRPr="00A31E84" w:rsidRDefault="00000000">
      <w:pPr>
        <w:pStyle w:val="ListParagraph"/>
        <w:numPr>
          <w:ilvl w:val="0"/>
          <w:numId w:val="4"/>
        </w:numPr>
        <w:spacing w:after="60" w:line="240" w:lineRule="auto"/>
        <w:ind w:left="1068"/>
        <w:jc w:val="both"/>
      </w:pPr>
      <w:r w:rsidRPr="00A31E84">
        <w:t xml:space="preserve">Veuillez vous référer au dernier </w:t>
      </w:r>
      <w:hyperlink r:id="rId11">
        <w:r w:rsidRPr="00A31E84">
          <w:rPr>
            <w:rStyle w:val="Hyperlink"/>
          </w:rPr>
          <w:t>catalogue</w:t>
        </w:r>
      </w:hyperlink>
      <w:r w:rsidRPr="00A31E84">
        <w:t xml:space="preserve"> de diagnostics mis à jour du GDF pour connaître les coûts des produits et vous assurer qu</w:t>
      </w:r>
      <w:r w:rsidR="00A31E84" w:rsidRPr="00A31E84">
        <w:t>’</w:t>
      </w:r>
      <w:r w:rsidRPr="00A31E84">
        <w:t>un montant suffisant pour couvrir les coûts d</w:t>
      </w:r>
      <w:r w:rsidR="00A31E84" w:rsidRPr="00A31E84">
        <w:t>’</w:t>
      </w:r>
      <w:r w:rsidRPr="00A31E84">
        <w:t>expédition est inclus dans les estimations de coûts.</w:t>
      </w:r>
    </w:p>
    <w:p w14:paraId="0DA9337F" w14:textId="34708298" w:rsidR="00736452" w:rsidRPr="00A31E84" w:rsidRDefault="00000000">
      <w:pPr>
        <w:pStyle w:val="ListParagraph"/>
        <w:numPr>
          <w:ilvl w:val="0"/>
          <w:numId w:val="4"/>
        </w:numPr>
        <w:spacing w:after="60" w:line="240" w:lineRule="auto"/>
        <w:ind w:left="1068"/>
        <w:jc w:val="both"/>
      </w:pPr>
      <w:r w:rsidRPr="00A31E84">
        <w:t>L</w:t>
      </w:r>
      <w:r w:rsidR="00A31E84" w:rsidRPr="00A31E84">
        <w:t>’</w:t>
      </w:r>
      <w:r w:rsidRPr="00A31E84">
        <w:t xml:space="preserve">incoterm par défaut de la commande de TB REACH est CIP et, à ce titre, </w:t>
      </w:r>
      <w:r w:rsidRPr="00A31E84">
        <w:rPr>
          <w:b/>
        </w:rPr>
        <w:t>les coûts liés à l</w:t>
      </w:r>
      <w:r w:rsidR="00A31E84" w:rsidRPr="00A31E84">
        <w:rPr>
          <w:b/>
        </w:rPr>
        <w:t>’</w:t>
      </w:r>
      <w:r w:rsidRPr="00A31E84">
        <w:rPr>
          <w:b/>
        </w:rPr>
        <w:t>importation, à la douane et au transport national de l</w:t>
      </w:r>
      <w:r w:rsidR="00A31E84" w:rsidRPr="00A31E84">
        <w:rPr>
          <w:b/>
        </w:rPr>
        <w:t>’</w:t>
      </w:r>
      <w:r w:rsidRPr="00A31E84">
        <w:rPr>
          <w:b/>
        </w:rPr>
        <w:t>équipement et des fournitures doivent être listés en plus des coûts du produit et de l</w:t>
      </w:r>
      <w:r w:rsidR="00A31E84" w:rsidRPr="00A31E84">
        <w:rPr>
          <w:b/>
        </w:rPr>
        <w:t>’</w:t>
      </w:r>
      <w:r w:rsidRPr="00A31E84">
        <w:rPr>
          <w:b/>
        </w:rPr>
        <w:t>expédition.</w:t>
      </w:r>
    </w:p>
    <w:p w14:paraId="70270DFF" w14:textId="29541EAF" w:rsidR="00736452" w:rsidRPr="00A31E84" w:rsidRDefault="00736452">
      <w:pPr>
        <w:pStyle w:val="ListParagraph"/>
        <w:spacing w:after="60" w:line="240" w:lineRule="auto"/>
        <w:jc w:val="both"/>
      </w:pPr>
    </w:p>
    <w:p w14:paraId="740307AB" w14:textId="15C5F542" w:rsidR="00736452" w:rsidRPr="00A31E84" w:rsidRDefault="00000000">
      <w:pPr>
        <w:pStyle w:val="P68B1DB1-Normal3"/>
        <w:spacing w:after="60" w:line="240" w:lineRule="auto"/>
        <w:jc w:val="both"/>
      </w:pPr>
      <w:r w:rsidRPr="00A31E84">
        <w:t>Catégorie budgétaire 5 : achats d</w:t>
      </w:r>
      <w:r w:rsidR="00A31E84" w:rsidRPr="00A31E84">
        <w:t>’</w:t>
      </w:r>
      <w:r w:rsidRPr="00A31E84">
        <w:t>articles médicaux (à l</w:t>
      </w:r>
      <w:r w:rsidR="00A31E84" w:rsidRPr="00A31E84">
        <w:t>’</w:t>
      </w:r>
      <w:r w:rsidRPr="00A31E84">
        <w:t>exclusion des articles de la catégorie 4)*</w:t>
      </w:r>
    </w:p>
    <w:p w14:paraId="525A1AEF" w14:textId="5567932F" w:rsidR="00736452" w:rsidRPr="00A31E84" w:rsidRDefault="00000000">
      <w:pPr>
        <w:pStyle w:val="ListParagraph"/>
        <w:numPr>
          <w:ilvl w:val="0"/>
          <w:numId w:val="3"/>
        </w:numPr>
        <w:spacing w:after="60" w:line="240" w:lineRule="auto"/>
        <w:jc w:val="both"/>
        <w:rPr>
          <w:b/>
        </w:rPr>
      </w:pPr>
      <w:r w:rsidRPr="00A31E84">
        <w:t>Les coûts médicaux comprennent toutes les dépenses liées à l</w:t>
      </w:r>
      <w:r w:rsidR="00A31E84" w:rsidRPr="00A31E84">
        <w:t>’</w:t>
      </w:r>
      <w:r w:rsidRPr="00A31E84">
        <w:t>équipement et aux fournitures médicales.</w:t>
      </w:r>
    </w:p>
    <w:p w14:paraId="052B6405" w14:textId="0EF76E3C" w:rsidR="00736452" w:rsidRPr="00A31E84" w:rsidRDefault="00000000">
      <w:pPr>
        <w:pStyle w:val="ListParagraph"/>
        <w:numPr>
          <w:ilvl w:val="0"/>
          <w:numId w:val="3"/>
        </w:numPr>
        <w:spacing w:after="60" w:line="240" w:lineRule="auto"/>
        <w:jc w:val="both"/>
        <w:rPr>
          <w:b/>
        </w:rPr>
      </w:pPr>
      <w:r w:rsidRPr="00A31E84">
        <w:t>Ils doivent inclure tous les coûts liés à l</w:t>
      </w:r>
      <w:r w:rsidR="00A31E84" w:rsidRPr="00A31E84">
        <w:t>’</w:t>
      </w:r>
      <w:r w:rsidRPr="00A31E84">
        <w:t>importation, au dédouanement, et à l</w:t>
      </w:r>
      <w:r w:rsidR="00A31E84" w:rsidRPr="00A31E84">
        <w:t>’</w:t>
      </w:r>
      <w:r w:rsidRPr="00A31E84">
        <w:t>expédition de matériel médical et de fournitures médicales.</w:t>
      </w:r>
    </w:p>
    <w:p w14:paraId="089F1BCC" w14:textId="4F42B9AA" w:rsidR="00736452" w:rsidRPr="00A31E84" w:rsidRDefault="00000000">
      <w:pPr>
        <w:pStyle w:val="ListParagraph"/>
        <w:numPr>
          <w:ilvl w:val="0"/>
          <w:numId w:val="3"/>
        </w:numPr>
        <w:spacing w:after="60" w:line="240" w:lineRule="auto"/>
        <w:jc w:val="both"/>
        <w:rPr>
          <w:b/>
        </w:rPr>
      </w:pPr>
      <w:r w:rsidRPr="00A31E84">
        <w:t xml:space="preserve">Veuillez noter que le </w:t>
      </w:r>
      <w:r w:rsidRPr="00A31E84">
        <w:rPr>
          <w:b/>
        </w:rPr>
        <w:t xml:space="preserve">financement de la subvention TB REACH ne doit pas être utilisé pour le </w:t>
      </w:r>
      <w:r w:rsidRPr="00A31E84">
        <w:rPr>
          <w:rStyle w:val="findhit"/>
          <w:rFonts w:ascii="Calibri" w:hAnsi="Calibri" w:cs="Calibri"/>
          <w:b/>
          <w:color w:val="000000"/>
        </w:rPr>
        <w:t>diagnostic</w:t>
      </w:r>
      <w:r w:rsidRPr="00A31E84">
        <w:rPr>
          <w:rStyle w:val="normaltextrun"/>
          <w:rFonts w:ascii="Calibri" w:hAnsi="Calibri" w:cs="Calibri"/>
          <w:b/>
          <w:color w:val="000000"/>
          <w:shd w:val="clear" w:color="auto" w:fill="FFFFFF"/>
        </w:rPr>
        <w:t xml:space="preserve"> et/ou le soutien du traitement d</w:t>
      </w:r>
      <w:r w:rsidR="00A31E84" w:rsidRPr="00A31E84">
        <w:rPr>
          <w:rStyle w:val="normaltextrun"/>
          <w:rFonts w:ascii="Calibri" w:hAnsi="Calibri" w:cs="Calibri"/>
          <w:b/>
          <w:color w:val="000000"/>
          <w:shd w:val="clear" w:color="auto" w:fill="FFFFFF"/>
        </w:rPr>
        <w:t>’</w:t>
      </w:r>
      <w:r w:rsidRPr="00A31E84">
        <w:rPr>
          <w:rStyle w:val="normaltextrun"/>
          <w:rFonts w:ascii="Calibri" w:hAnsi="Calibri" w:cs="Calibri"/>
          <w:b/>
          <w:color w:val="000000"/>
          <w:shd w:val="clear" w:color="auto" w:fill="FFFFFF"/>
        </w:rPr>
        <w:t xml:space="preserve">autres problèmes de santé </w:t>
      </w:r>
      <w:r w:rsidRPr="00A31E84">
        <w:rPr>
          <w:rStyle w:val="normaltextrun"/>
          <w:rFonts w:ascii="Calibri" w:hAnsi="Calibri" w:cs="Calibri"/>
          <w:color w:val="000000"/>
          <w:shd w:val="clear" w:color="auto" w:fill="FFFFFF"/>
        </w:rPr>
        <w:t>et les demandeurs sont encouragés à demander un cofinancement auprès d</w:t>
      </w:r>
      <w:r w:rsidR="00A31E84" w:rsidRPr="00A31E84">
        <w:rPr>
          <w:rStyle w:val="normaltextrun"/>
          <w:rFonts w:ascii="Calibri" w:hAnsi="Calibri" w:cs="Calibri"/>
          <w:color w:val="000000"/>
          <w:shd w:val="clear" w:color="auto" w:fill="FFFFFF"/>
        </w:rPr>
        <w:t>’</w:t>
      </w:r>
      <w:r w:rsidRPr="00A31E84">
        <w:rPr>
          <w:rStyle w:val="normaltextrun"/>
          <w:rFonts w:ascii="Calibri" w:hAnsi="Calibri" w:cs="Calibri"/>
          <w:color w:val="000000"/>
          <w:shd w:val="clear" w:color="auto" w:fill="FFFFFF"/>
        </w:rPr>
        <w:t>autres partenaires impliqués dans des activités de Prestation de services intégrés.</w:t>
      </w:r>
    </w:p>
    <w:p w14:paraId="2A574011" w14:textId="77777777" w:rsidR="00736452" w:rsidRPr="00A31E84" w:rsidRDefault="00736452">
      <w:pPr>
        <w:pStyle w:val="ListParagraph"/>
        <w:spacing w:after="60" w:line="240" w:lineRule="auto"/>
        <w:jc w:val="both"/>
        <w:rPr>
          <w:b/>
        </w:rPr>
      </w:pPr>
    </w:p>
    <w:p w14:paraId="4733CBE1" w14:textId="2BCD791A" w:rsidR="00736452" w:rsidRPr="00A31E84" w:rsidRDefault="00000000">
      <w:pPr>
        <w:pStyle w:val="P68B1DB1-Normal3"/>
        <w:spacing w:after="60" w:line="240" w:lineRule="auto"/>
        <w:jc w:val="both"/>
      </w:pPr>
      <w:r w:rsidRPr="00A31E84">
        <w:t>Catégorie budgétaire 6 : achats d</w:t>
      </w:r>
      <w:r w:rsidR="00A31E84" w:rsidRPr="00A31E84">
        <w:t>’</w:t>
      </w:r>
      <w:r w:rsidRPr="00A31E84">
        <w:t>articles non médicaux*</w:t>
      </w:r>
    </w:p>
    <w:p w14:paraId="0FD4036F" w14:textId="34FC6192" w:rsidR="00736452" w:rsidRPr="00A31E84" w:rsidRDefault="00000000">
      <w:pPr>
        <w:pStyle w:val="ListParagraph"/>
        <w:numPr>
          <w:ilvl w:val="0"/>
          <w:numId w:val="4"/>
        </w:numPr>
        <w:spacing w:after="60" w:line="240" w:lineRule="auto"/>
        <w:jc w:val="both"/>
      </w:pPr>
      <w:r w:rsidRPr="00A31E84">
        <w:t>L</w:t>
      </w:r>
      <w:r w:rsidR="00A31E84" w:rsidRPr="00A31E84">
        <w:t>’</w:t>
      </w:r>
      <w:r w:rsidRPr="00A31E84">
        <w:t>achat d</w:t>
      </w:r>
      <w:r w:rsidR="00A31E84" w:rsidRPr="00A31E84">
        <w:t>’</w:t>
      </w:r>
      <w:r w:rsidRPr="00A31E84">
        <w:t>articles non médicaux comprend toutes les dépenses qui ne sont pas liées à l</w:t>
      </w:r>
      <w:r w:rsidR="00A31E84" w:rsidRPr="00A31E84">
        <w:t>’</w:t>
      </w:r>
      <w:r w:rsidRPr="00A31E84">
        <w:t>équipement médical, tels que les ordinateurs, les téléphones mobiles, les tablettes, etc. Ces dépenses ne devraient pas être réparties dans la catégorie budgétaire « activités » ni « informatique/communication ».</w:t>
      </w:r>
    </w:p>
    <w:p w14:paraId="4190AC39" w14:textId="6847A5C6" w:rsidR="00736452" w:rsidRPr="00A31E84" w:rsidRDefault="00000000">
      <w:pPr>
        <w:pStyle w:val="P68B1DB1-ListParagraph5"/>
        <w:numPr>
          <w:ilvl w:val="0"/>
          <w:numId w:val="4"/>
        </w:numPr>
        <w:spacing w:after="60" w:line="240" w:lineRule="auto"/>
        <w:jc w:val="both"/>
      </w:pPr>
      <w:r w:rsidRPr="00A31E84">
        <w:t>Incluez tous les coûts associés à l</w:t>
      </w:r>
      <w:r w:rsidR="00A31E84" w:rsidRPr="00A31E84">
        <w:t>’</w:t>
      </w:r>
      <w:r w:rsidRPr="00A31E84">
        <w:t>importation, à la douane et au transport national de ces équipements et fournitures.</w:t>
      </w:r>
    </w:p>
    <w:p w14:paraId="599BD71A" w14:textId="2D7706AF" w:rsidR="00736452" w:rsidRPr="00A31E84" w:rsidRDefault="00000000">
      <w:pPr>
        <w:pStyle w:val="ListParagraph"/>
        <w:numPr>
          <w:ilvl w:val="0"/>
          <w:numId w:val="4"/>
        </w:numPr>
        <w:spacing w:after="60" w:line="240" w:lineRule="auto"/>
        <w:jc w:val="both"/>
      </w:pPr>
      <w:r w:rsidRPr="00A31E84">
        <w:lastRenderedPageBreak/>
        <w:t>TB REACH suggère fortement de ne pas inclure l</w:t>
      </w:r>
      <w:r w:rsidR="00A31E84" w:rsidRPr="00A31E84">
        <w:t>’</w:t>
      </w:r>
      <w:r w:rsidRPr="00A31E84">
        <w:t>achat de véhicules dans les propositions et leur inclusion devrait être clairement justifiée.</w:t>
      </w:r>
    </w:p>
    <w:p w14:paraId="6896F6EB" w14:textId="77777777" w:rsidR="00736452" w:rsidRPr="00A31E84" w:rsidRDefault="00736452">
      <w:pPr>
        <w:pStyle w:val="ListParagraph"/>
        <w:spacing w:after="60" w:line="240" w:lineRule="auto"/>
        <w:jc w:val="both"/>
      </w:pPr>
    </w:p>
    <w:p w14:paraId="31EC1039" w14:textId="61CED739" w:rsidR="00736452" w:rsidRPr="00A31E84" w:rsidRDefault="00000000">
      <w:pPr>
        <w:pStyle w:val="P68B1DB1-Normal3"/>
        <w:spacing w:after="0" w:line="240" w:lineRule="auto"/>
        <w:jc w:val="both"/>
      </w:pPr>
      <w:r w:rsidRPr="00A31E84">
        <w:t>Catégorie budgétaire 7 – Informatique/communications</w:t>
      </w:r>
    </w:p>
    <w:p w14:paraId="48371E4B" w14:textId="1686E2E3" w:rsidR="00736452" w:rsidRPr="00A31E84" w:rsidRDefault="00000000">
      <w:pPr>
        <w:pStyle w:val="ListParagraph"/>
        <w:numPr>
          <w:ilvl w:val="0"/>
          <w:numId w:val="2"/>
        </w:numPr>
        <w:spacing w:after="0" w:line="240" w:lineRule="auto"/>
        <w:jc w:val="both"/>
      </w:pPr>
      <w:r w:rsidRPr="00A31E84">
        <w:t xml:space="preserve">Cette ligne budgétaire doit inclure toutes les dépenses liées aux </w:t>
      </w:r>
      <w:r w:rsidRPr="00A31E84">
        <w:rPr>
          <w:i/>
        </w:rPr>
        <w:t>technologies de l</w:t>
      </w:r>
      <w:r w:rsidR="00A31E84" w:rsidRPr="00A31E84">
        <w:rPr>
          <w:i/>
        </w:rPr>
        <w:t>’</w:t>
      </w:r>
      <w:r w:rsidRPr="00A31E84">
        <w:rPr>
          <w:i/>
        </w:rPr>
        <w:t>information (TI).</w:t>
      </w:r>
      <w:r w:rsidRPr="00A31E84">
        <w:t xml:space="preserve"> Elle peut inclure le cloud, les services d</w:t>
      </w:r>
      <w:r w:rsidR="00A31E84" w:rsidRPr="00A31E84">
        <w:t>’</w:t>
      </w:r>
      <w:r w:rsidRPr="00A31E84">
        <w:t>hébergement de données, l</w:t>
      </w:r>
      <w:r w:rsidR="00A31E84" w:rsidRPr="00A31E84">
        <w:t>’</w:t>
      </w:r>
      <w:r w:rsidRPr="00A31E84">
        <w:t>accès au réseau, les serveurs, les logiciels, etc.</w:t>
      </w:r>
    </w:p>
    <w:p w14:paraId="0B7B0667" w14:textId="6CF54E8E" w:rsidR="00736452" w:rsidRPr="00A31E84" w:rsidRDefault="00000000">
      <w:pPr>
        <w:pStyle w:val="ListParagraph"/>
        <w:numPr>
          <w:ilvl w:val="0"/>
          <w:numId w:val="2"/>
        </w:numPr>
        <w:spacing w:after="0" w:line="240" w:lineRule="auto"/>
        <w:jc w:val="both"/>
      </w:pPr>
      <w:r w:rsidRPr="00A31E84">
        <w:t>De petits articles achetés à des fins de promotion et de mobilisation peuvent également être inclus (autocollants, stylos, t-shirts, etc.)</w:t>
      </w:r>
    </w:p>
    <w:p w14:paraId="034EDA10" w14:textId="288274E5" w:rsidR="00736452" w:rsidRPr="00A31E84" w:rsidRDefault="00736452">
      <w:pPr>
        <w:pStyle w:val="ListParagraph"/>
        <w:spacing w:after="60" w:line="240" w:lineRule="auto"/>
        <w:jc w:val="both"/>
      </w:pPr>
    </w:p>
    <w:p w14:paraId="3F93FC99" w14:textId="031059C1" w:rsidR="00736452" w:rsidRPr="00A31E84" w:rsidRDefault="00000000">
      <w:pPr>
        <w:pStyle w:val="P68B1DB1-Normal3"/>
        <w:spacing w:after="0" w:line="240" w:lineRule="auto"/>
      </w:pPr>
      <w:r w:rsidRPr="00A31E84">
        <w:t>Catégorie budgétaire 8 : soutien direct aux programmes (max. 12 % du budget total)</w:t>
      </w:r>
    </w:p>
    <w:p w14:paraId="42BD742F" w14:textId="05C8FCE7" w:rsidR="00736452" w:rsidRPr="00A31E84" w:rsidRDefault="00000000">
      <w:pPr>
        <w:numPr>
          <w:ilvl w:val="0"/>
          <w:numId w:val="6"/>
        </w:numPr>
        <w:spacing w:after="60" w:line="240" w:lineRule="auto"/>
        <w:ind w:left="851" w:hanging="283"/>
        <w:jc w:val="both"/>
      </w:pPr>
      <w:r w:rsidRPr="00A31E84">
        <w:t>Les dépenses consacrées au soutien direct aux programmes ne peuvent dépasser 12 % du budget total des subventions.</w:t>
      </w:r>
    </w:p>
    <w:p w14:paraId="0F9544CF" w14:textId="4D9ED604" w:rsidR="00736452" w:rsidRPr="00A31E84" w:rsidRDefault="00000000">
      <w:pPr>
        <w:numPr>
          <w:ilvl w:val="1"/>
          <w:numId w:val="6"/>
        </w:numPr>
        <w:spacing w:after="60" w:line="240" w:lineRule="auto"/>
        <w:ind w:left="1276" w:hanging="283"/>
        <w:jc w:val="both"/>
      </w:pPr>
      <w:r w:rsidRPr="00A31E84">
        <w:t>Si votre projet comporte des sous-activités, les coûts de soutien direct aux programmes pour le bénéficiaire principal et le sous-bénéficiaire ne peuvent dépasser 12 %. Par conséquent, TB REACH ne permet pas au bénéficiaire principal d</w:t>
      </w:r>
      <w:r w:rsidR="00A31E84" w:rsidRPr="00A31E84">
        <w:t>’</w:t>
      </w:r>
      <w:r w:rsidRPr="00A31E84">
        <w:t>assumer un coût direct de soutien du programme de 12 % et au sous-bénéficiaire de faire de même, car cela signifierait que le total des coûts directs de soutien au programme dépasserait largement la limite des 12 % une fois additionnés.</w:t>
      </w:r>
    </w:p>
    <w:p w14:paraId="3627505F" w14:textId="4CC9A70A" w:rsidR="00736452" w:rsidRPr="00A31E84" w:rsidRDefault="00000000">
      <w:pPr>
        <w:pStyle w:val="P68B1DB1-Normal4"/>
        <w:numPr>
          <w:ilvl w:val="0"/>
          <w:numId w:val="6"/>
        </w:numPr>
        <w:spacing w:after="60" w:line="240" w:lineRule="auto"/>
        <w:ind w:left="851" w:hanging="284"/>
        <w:jc w:val="both"/>
      </w:pPr>
      <w:r w:rsidRPr="00A31E84">
        <w:t>Ce plafond de dépenses a été demandé par les organismes donateurs qui financent l</w:t>
      </w:r>
      <w:r w:rsidR="00A31E84" w:rsidRPr="00A31E84">
        <w:t>’</w:t>
      </w:r>
      <w:r w:rsidRPr="00A31E84">
        <w:t xml:space="preserve">initiative TB REACH et </w:t>
      </w:r>
      <w:r w:rsidRPr="00A31E84">
        <w:rPr>
          <w:b/>
          <w:u w:val="single"/>
        </w:rPr>
        <w:t>il est impossible de dépasser ce plafond</w:t>
      </w:r>
      <w:r w:rsidRPr="00A31E84">
        <w:t>.</w:t>
      </w:r>
    </w:p>
    <w:p w14:paraId="442276F3" w14:textId="2F82F13A" w:rsidR="00736452" w:rsidRPr="00A31E84" w:rsidRDefault="00000000">
      <w:pPr>
        <w:numPr>
          <w:ilvl w:val="0"/>
          <w:numId w:val="6"/>
        </w:numPr>
        <w:spacing w:after="0" w:line="240" w:lineRule="auto"/>
        <w:ind w:left="851" w:hanging="283"/>
        <w:jc w:val="both"/>
        <w:rPr>
          <w:b/>
        </w:rPr>
      </w:pPr>
      <w:r w:rsidRPr="00A31E84">
        <w:t>Les coûts de soutien direct aux programmes comprennent toutes les dépenses indirectes qui ne sont pas liées à la main-d</w:t>
      </w:r>
      <w:r w:rsidR="00A31E84" w:rsidRPr="00A31E84">
        <w:t>’</w:t>
      </w:r>
      <w:r w:rsidRPr="00A31E84">
        <w:t>œuvre directe, aux matériels directs, aux activités, etc. Les coûts admissibles sont les services publics pour les bureaux, y compris le loyer, les coûts liés à la sécurité, les frais d</w:t>
      </w:r>
      <w:r w:rsidR="00A31E84" w:rsidRPr="00A31E84">
        <w:t>’</w:t>
      </w:r>
      <w:r w:rsidRPr="00A31E84">
        <w:t>audit (voir ci-dessous), les frais bancaires, etc.</w:t>
      </w:r>
    </w:p>
    <w:p w14:paraId="21E261E4" w14:textId="77777777" w:rsidR="00736452" w:rsidRPr="00A31E84" w:rsidRDefault="00000000">
      <w:pPr>
        <w:pStyle w:val="P68B1DB1-Normal6"/>
        <w:numPr>
          <w:ilvl w:val="0"/>
          <w:numId w:val="6"/>
        </w:numPr>
        <w:spacing w:after="0" w:line="240" w:lineRule="auto"/>
        <w:ind w:left="851" w:hanging="283"/>
        <w:jc w:val="both"/>
      </w:pPr>
      <w:r w:rsidRPr="00A31E84">
        <w:t>Le financement ne peut être utilisé pour créer de nouveaux bureaux ou pour rénover des bureaux existants.</w:t>
      </w:r>
    </w:p>
    <w:p w14:paraId="4A605CCE" w14:textId="32384C75" w:rsidR="00736452" w:rsidRPr="00A31E84" w:rsidRDefault="00000000">
      <w:pPr>
        <w:pStyle w:val="P68B1DB1-Normal7"/>
        <w:numPr>
          <w:ilvl w:val="0"/>
          <w:numId w:val="6"/>
        </w:numPr>
        <w:spacing w:after="60" w:line="240" w:lineRule="auto"/>
        <w:ind w:left="851" w:hanging="283"/>
        <w:jc w:val="both"/>
      </w:pPr>
      <w:r w:rsidRPr="00A31E84">
        <w:t>Les bénéficiaires du programme TB REACH devront fournir un rapport d</w:t>
      </w:r>
      <w:r w:rsidR="00A31E84" w:rsidRPr="00A31E84">
        <w:t>’</w:t>
      </w:r>
      <w:r w:rsidRPr="00A31E84">
        <w:t>audit certifié à la fin de leur période de subvention, ce qui est l</w:t>
      </w:r>
      <w:r w:rsidR="00A31E84" w:rsidRPr="00A31E84">
        <w:t>’</w:t>
      </w:r>
      <w:r w:rsidRPr="00A31E84">
        <w:t>un des résultats attendus pour le paiement final de la subvention. Les bénéficiaires potentiels devraient budgétiser le coût de l</w:t>
      </w:r>
      <w:r w:rsidR="00A31E84" w:rsidRPr="00A31E84">
        <w:t>’</w:t>
      </w:r>
      <w:r w:rsidRPr="00A31E84">
        <w:t xml:space="preserve">audit au titre de cette ligne budgétaire. </w:t>
      </w:r>
    </w:p>
    <w:p w14:paraId="0300BB91" w14:textId="7D4DB52C" w:rsidR="00736452" w:rsidRPr="00A31E84" w:rsidRDefault="00736452">
      <w:pPr>
        <w:spacing w:after="0" w:line="240" w:lineRule="auto"/>
      </w:pPr>
    </w:p>
    <w:p w14:paraId="112812F0" w14:textId="704EEA3D" w:rsidR="00736452" w:rsidRPr="00A31E84" w:rsidRDefault="00736452">
      <w:pPr>
        <w:spacing w:after="0" w:line="240" w:lineRule="auto"/>
        <w:rPr>
          <w:u w:val="single"/>
        </w:rPr>
      </w:pPr>
    </w:p>
    <w:p w14:paraId="257E4F6D" w14:textId="5BC06EF0" w:rsidR="00736452" w:rsidRPr="00A31E84" w:rsidRDefault="00000000">
      <w:pPr>
        <w:pStyle w:val="P68B1DB1-Normal3"/>
        <w:spacing w:after="0" w:line="240" w:lineRule="auto"/>
      </w:pPr>
      <w:r w:rsidRPr="00A31E84">
        <w:t>Catégorie budgétaire 9 : recherche sur la mise en œuvre (max. 10 % du budget total)</w:t>
      </w:r>
    </w:p>
    <w:p w14:paraId="736321DF" w14:textId="505AA0C2" w:rsidR="00736452" w:rsidRPr="00A31E84" w:rsidRDefault="00736452">
      <w:pPr>
        <w:spacing w:after="0" w:line="240" w:lineRule="auto"/>
      </w:pPr>
    </w:p>
    <w:p w14:paraId="2191AA0A" w14:textId="63205AA1" w:rsidR="00736452" w:rsidRPr="00A31E84" w:rsidRDefault="00000000">
      <w:pPr>
        <w:pStyle w:val="P68B1DB1-ListParagraph8"/>
        <w:numPr>
          <w:ilvl w:val="0"/>
          <w:numId w:val="42"/>
        </w:numPr>
        <w:spacing w:after="60" w:line="240" w:lineRule="auto"/>
        <w:ind w:left="851" w:hanging="294"/>
        <w:jc w:val="both"/>
      </w:pPr>
      <w:r w:rsidRPr="00A31E84">
        <w:t>La recherche sur la mise en œuvre est un élément clé des projets TB REACH. Cependant, les subventions ne sont pas censées financer les études de recherche. Les dépenses consacrées à la recherche sur la mise en œuvre ne peuvent dépasser 10 % du budget total demandé.</w:t>
      </w:r>
    </w:p>
    <w:p w14:paraId="5EDE8D76" w14:textId="274A86CF" w:rsidR="00736452" w:rsidRPr="00A31E84" w:rsidRDefault="00000000">
      <w:pPr>
        <w:pStyle w:val="P68B1DB1-ListParagraph8"/>
        <w:numPr>
          <w:ilvl w:val="0"/>
          <w:numId w:val="42"/>
        </w:numPr>
        <w:spacing w:line="240" w:lineRule="auto"/>
        <w:ind w:left="851" w:hanging="294"/>
        <w:jc w:val="both"/>
      </w:pPr>
      <w:r w:rsidRPr="00A31E84">
        <w:t>Cette catégorie budgétaire peut être utilisée pour soutenir des études de recherche de mise en œuvre autonomes ou pour soutenir d</w:t>
      </w:r>
      <w:r w:rsidR="00A31E84" w:rsidRPr="00A31E84">
        <w:t>’</w:t>
      </w:r>
      <w:r w:rsidRPr="00A31E84">
        <w:t>autres analyses et la diffusion des résultats des activités du projet.</w:t>
      </w:r>
    </w:p>
    <w:p w14:paraId="16245B30" w14:textId="634FF1D8" w:rsidR="00736452" w:rsidRPr="00A31E84" w:rsidRDefault="00736452">
      <w:pPr>
        <w:spacing w:after="0" w:line="240" w:lineRule="auto"/>
      </w:pPr>
    </w:p>
    <w:p w14:paraId="19CC14B8" w14:textId="249CD3A5" w:rsidR="00736452" w:rsidRPr="00A31E84" w:rsidRDefault="00000000">
      <w:pPr>
        <w:pStyle w:val="P68B1DB1-Normal3"/>
        <w:spacing w:after="60" w:line="240" w:lineRule="auto"/>
      </w:pPr>
      <w:r w:rsidRPr="00A31E84">
        <w:t>Catégorie budgétaire 10 : suivi et évaluation externes (fonds retenus à la source)</w:t>
      </w:r>
    </w:p>
    <w:p w14:paraId="39CD787E" w14:textId="54D47274" w:rsidR="00736452" w:rsidRPr="00A31E84" w:rsidRDefault="00000000">
      <w:pPr>
        <w:numPr>
          <w:ilvl w:val="0"/>
          <w:numId w:val="8"/>
        </w:numPr>
        <w:spacing w:after="60" w:line="240" w:lineRule="auto"/>
        <w:ind w:left="851" w:hanging="294"/>
      </w:pPr>
      <w:r w:rsidRPr="00A31E84">
        <w:t xml:space="preserve">TB REACH </w:t>
      </w:r>
      <w:r w:rsidRPr="00A31E84">
        <w:rPr>
          <w:b/>
        </w:rPr>
        <w:t xml:space="preserve">retiendra ces fonds à la source </w:t>
      </w:r>
      <w:r w:rsidRPr="00A31E84">
        <w:t>(Partenariat Halte à la tuberculose/UNOPS) et achètera directement des services externes de suivi et d</w:t>
      </w:r>
      <w:r w:rsidR="00A31E84" w:rsidRPr="00A31E84">
        <w:t>’</w:t>
      </w:r>
      <w:r w:rsidRPr="00A31E84">
        <w:t>évaluation (S&amp;E) pour le compte de tous les bénéficiaires de Wave 11.</w:t>
      </w:r>
    </w:p>
    <w:p w14:paraId="24313E5A" w14:textId="65132011" w:rsidR="00736452" w:rsidRPr="00A31E84" w:rsidRDefault="00000000">
      <w:pPr>
        <w:numPr>
          <w:ilvl w:val="0"/>
          <w:numId w:val="8"/>
        </w:numPr>
        <w:spacing w:after="60" w:line="240" w:lineRule="auto"/>
        <w:ind w:left="851" w:hanging="294"/>
      </w:pPr>
      <w:r w:rsidRPr="00A31E84">
        <w:t>Le budget du soutien au S&amp;E est fixé à 35 000 USD.</w:t>
      </w:r>
    </w:p>
    <w:p w14:paraId="1E7A79B0" w14:textId="3916169E" w:rsidR="00736452" w:rsidRPr="00A31E84" w:rsidRDefault="00736452">
      <w:pPr>
        <w:spacing w:after="60" w:line="240" w:lineRule="auto"/>
        <w:ind w:left="197"/>
      </w:pPr>
    </w:p>
    <w:p w14:paraId="7E07F4A1" w14:textId="1314E2A6" w:rsidR="00736452" w:rsidRPr="00A31E84" w:rsidRDefault="00000000">
      <w:pPr>
        <w:spacing w:after="0" w:line="240" w:lineRule="auto"/>
        <w:jc w:val="both"/>
      </w:pPr>
      <w:r w:rsidRPr="00A31E84">
        <w:rPr>
          <w:b/>
        </w:rPr>
        <w:lastRenderedPageBreak/>
        <w:t>*Remarque</w:t>
      </w:r>
      <w:r w:rsidR="00A31E84" w:rsidRPr="00A31E84">
        <w:rPr>
          <w:b/>
        </w:rPr>
        <w:t xml:space="preserve"> : </w:t>
      </w:r>
      <w:r w:rsidR="00A31E84" w:rsidRPr="00A31E84">
        <w:rPr>
          <w:bCs/>
        </w:rPr>
        <w:t>Pour</w:t>
      </w:r>
      <w:r w:rsidRPr="00A31E84">
        <w:rPr>
          <w:bCs/>
        </w:rPr>
        <w:t xml:space="preserve"> </w:t>
      </w:r>
      <w:r w:rsidRPr="00A31E84">
        <w:t>les articles d</w:t>
      </w:r>
      <w:r w:rsidR="00A31E84" w:rsidRPr="00A31E84">
        <w:t>’</w:t>
      </w:r>
      <w:r w:rsidRPr="00A31E84">
        <w:t>une valeur d</w:t>
      </w:r>
      <w:r w:rsidR="00A31E84" w:rsidRPr="00A31E84">
        <w:t>’</w:t>
      </w:r>
      <w:r w:rsidRPr="00A31E84">
        <w:t xml:space="preserve">acquisition supérieure ou égale à 500 USD, le bénéficiaire doit tenir un registre avec toutes les pièces justificatives. </w:t>
      </w:r>
      <w:r w:rsidR="00925BA1">
        <w:t>La cession</w:t>
      </w:r>
      <w:r w:rsidRPr="00A31E84">
        <w:t xml:space="preserve"> de ces </w:t>
      </w:r>
      <w:r w:rsidR="00925BA1">
        <w:t>actifs</w:t>
      </w:r>
      <w:r w:rsidRPr="00A31E84">
        <w:t xml:space="preserve"> sera examinée et approuvée par TB REACH (par exemple, don au bénéficiaire ou au PNLT, restitution à TB REACH ou vente à d</w:t>
      </w:r>
      <w:r w:rsidR="00A31E84" w:rsidRPr="00A31E84">
        <w:t>’</w:t>
      </w:r>
      <w:r w:rsidRPr="00A31E84">
        <w:t>autres parties) après la fin du projet. L</w:t>
      </w:r>
      <w:r w:rsidR="00A31E84" w:rsidRPr="00A31E84">
        <w:t>’</w:t>
      </w:r>
      <w:r w:rsidRPr="00A31E84">
        <w:t xml:space="preserve">accord de subvention contiendra des informations plus détaillées sur la procédure </w:t>
      </w:r>
      <w:r w:rsidR="00925BA1">
        <w:t>de céssion</w:t>
      </w:r>
      <w:r w:rsidRPr="00A31E84">
        <w:t xml:space="preserve"> de ces actifs. </w:t>
      </w:r>
    </w:p>
    <w:sectPr w:rsidR="00736452" w:rsidRPr="00A31E84">
      <w:headerReference w:type="default" r:id="rId12"/>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6D436" w14:textId="77777777" w:rsidR="005016C5" w:rsidRDefault="005016C5">
      <w:pPr>
        <w:spacing w:after="0" w:line="240" w:lineRule="auto"/>
      </w:pPr>
      <w:r>
        <w:separator/>
      </w:r>
    </w:p>
  </w:endnote>
  <w:endnote w:type="continuationSeparator" w:id="0">
    <w:p w14:paraId="4B3F8DED" w14:textId="77777777" w:rsidR="005016C5" w:rsidRDefault="005016C5">
      <w:pPr>
        <w:spacing w:after="0" w:line="240" w:lineRule="auto"/>
      </w:pPr>
      <w:r>
        <w:continuationSeparator/>
      </w:r>
    </w:p>
  </w:endnote>
  <w:endnote w:type="continuationNotice" w:id="1">
    <w:p w14:paraId="5FD0E15A" w14:textId="77777777" w:rsidR="005016C5" w:rsidRDefault="005016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useo Slab 500">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612655"/>
      <w:docPartObj>
        <w:docPartGallery w:val="Page Numbers (Bottom of Page)"/>
        <w:docPartUnique/>
      </w:docPartObj>
    </w:sdtPr>
    <w:sdtContent>
      <w:sdt>
        <w:sdtPr>
          <w:id w:val="-581291920"/>
          <w:docPartObj>
            <w:docPartGallery w:val="Page Numbers (Top of Page)"/>
            <w:docPartUnique/>
          </w:docPartObj>
        </w:sdtPr>
        <w:sdtContent>
          <w:p w14:paraId="3DD24948" w14:textId="77777777" w:rsidR="00736452" w:rsidRDefault="00000000">
            <w:pPr>
              <w:pStyle w:val="Footer"/>
              <w:jc w:val="right"/>
            </w:pPr>
            <w:r>
              <w:t xml:space="preserve">Page </w:t>
            </w:r>
            <w:r>
              <w:rPr>
                <w:sz w:val="24"/>
              </w:rPr>
              <w:fldChar w:fldCharType="begin"/>
            </w:r>
            <w:r>
              <w:instrText xml:space="preserve"> PAGE </w:instrText>
            </w:r>
            <w:r>
              <w:rPr>
                <w:sz w:val="24"/>
              </w:rPr>
              <w:fldChar w:fldCharType="separate"/>
            </w:r>
            <w:r>
              <w:t>8</w:t>
            </w:r>
            <w:r>
              <w:rPr>
                <w:sz w:val="24"/>
              </w:rPr>
              <w:fldChar w:fldCharType="end"/>
            </w:r>
            <w:r>
              <w:t xml:space="preserve"> sur </w:t>
            </w:r>
            <w:fldSimple w:instr=" NUMPAGES  ">
              <w:r>
                <w:t>8</w:t>
              </w:r>
            </w:fldSimple>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9364D" w14:textId="77777777" w:rsidR="005016C5" w:rsidRDefault="005016C5">
      <w:pPr>
        <w:spacing w:after="0" w:line="240" w:lineRule="auto"/>
      </w:pPr>
      <w:r>
        <w:separator/>
      </w:r>
    </w:p>
  </w:footnote>
  <w:footnote w:type="continuationSeparator" w:id="0">
    <w:p w14:paraId="6487436A" w14:textId="77777777" w:rsidR="005016C5" w:rsidRDefault="005016C5">
      <w:pPr>
        <w:spacing w:after="0" w:line="240" w:lineRule="auto"/>
      </w:pPr>
      <w:r>
        <w:continuationSeparator/>
      </w:r>
    </w:p>
  </w:footnote>
  <w:footnote w:type="continuationNotice" w:id="1">
    <w:p w14:paraId="03A68645" w14:textId="77777777" w:rsidR="005016C5" w:rsidRDefault="005016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3446"/>
      <w:gridCol w:w="3210"/>
    </w:tblGrid>
    <w:tr w:rsidR="00736452" w14:paraId="264891E1" w14:textId="77777777">
      <w:tc>
        <w:tcPr>
          <w:tcW w:w="2972" w:type="dxa"/>
        </w:tcPr>
        <w:p w14:paraId="19CC03C0" w14:textId="77777777" w:rsidR="00736452" w:rsidRDefault="00000000">
          <w:pPr>
            <w:pStyle w:val="Header"/>
          </w:pPr>
          <w:r>
            <w:rPr>
              <w:noProof/>
            </w:rPr>
            <w:drawing>
              <wp:inline distT="0" distB="0" distL="0" distR="0" wp14:anchorId="1EAEB223" wp14:editId="2EF4A914">
                <wp:extent cx="1679616" cy="432000"/>
                <wp:effectExtent l="0" t="0" r="0" b="6350"/>
                <wp:docPr id="6" name="Picture 6" descr="S:\Communications\Branding\LOGO_ALL\StopTB_SubBrands\StopTBTBReach\SCREEN\StopTB-TBREACHLogo_RGB_14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ommunications\Branding\LOGO_ALL\StopTB_SubBrands\StopTBTBReach\SCREEN\StopTB-TBREACHLogo_RGB_140px.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715" t="3322" r="2199" b="6885"/>
                        <a:stretch/>
                      </pic:blipFill>
                      <pic:spPr bwMode="auto">
                        <a:xfrm>
                          <a:off x="0" y="0"/>
                          <a:ext cx="1679616" cy="43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446" w:type="dxa"/>
          <w:vAlign w:val="center"/>
        </w:tcPr>
        <w:p w14:paraId="42B8A3C8" w14:textId="77777777" w:rsidR="00736452" w:rsidRDefault="00000000">
          <w:pPr>
            <w:pStyle w:val="Header"/>
          </w:pPr>
          <w:r>
            <w:rPr>
              <w:noProof/>
            </w:rPr>
            <w:drawing>
              <wp:inline distT="0" distB="0" distL="0" distR="0" wp14:anchorId="7B073F3A" wp14:editId="7AD68145">
                <wp:extent cx="571585" cy="198000"/>
                <wp:effectExtent l="0" t="0" r="0" b="0"/>
                <wp:docPr id="4195487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
                          <a:extLst>
                            <a:ext uri="{28A0092B-C50C-407E-A947-70E740481C1C}">
                              <a14:useLocalDpi xmlns:a14="http://schemas.microsoft.com/office/drawing/2010/main" val="0"/>
                            </a:ext>
                          </a:extLst>
                        </a:blip>
                        <a:stretch>
                          <a:fillRect/>
                        </a:stretch>
                      </pic:blipFill>
                      <pic:spPr>
                        <a:xfrm>
                          <a:off x="0" y="0"/>
                          <a:ext cx="571585" cy="198000"/>
                        </a:xfrm>
                        <a:prstGeom prst="rect">
                          <a:avLst/>
                        </a:prstGeom>
                      </pic:spPr>
                    </pic:pic>
                  </a:graphicData>
                </a:graphic>
              </wp:inline>
            </w:drawing>
          </w:r>
        </w:p>
      </w:tc>
      <w:tc>
        <w:tcPr>
          <w:tcW w:w="3210" w:type="dxa"/>
          <w:vAlign w:val="center"/>
        </w:tcPr>
        <w:p w14:paraId="407010FD" w14:textId="77777777" w:rsidR="00736452" w:rsidRDefault="00000000">
          <w:pPr>
            <w:pStyle w:val="Header"/>
            <w:jc w:val="right"/>
          </w:pPr>
          <w:r>
            <w:rPr>
              <w:noProof/>
            </w:rPr>
            <w:drawing>
              <wp:inline distT="0" distB="0" distL="0" distR="0" wp14:anchorId="1AA37383" wp14:editId="7288B454">
                <wp:extent cx="502905" cy="216000"/>
                <wp:effectExtent l="0" t="0" r="0" b="0"/>
                <wp:docPr id="1398183995" name="Picture 8" descr="C:\Users\andrewc\AppData\Local\Microsoft\Windows\Temporary Internet Files\Content.Word\EndTB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3">
                          <a:extLst>
                            <a:ext uri="{28A0092B-C50C-407E-A947-70E740481C1C}">
                              <a14:useLocalDpi xmlns:a14="http://schemas.microsoft.com/office/drawing/2010/main" val="0"/>
                            </a:ext>
                          </a:extLst>
                        </a:blip>
                        <a:stretch>
                          <a:fillRect/>
                        </a:stretch>
                      </pic:blipFill>
                      <pic:spPr>
                        <a:xfrm>
                          <a:off x="0" y="0"/>
                          <a:ext cx="502905" cy="216000"/>
                        </a:xfrm>
                        <a:prstGeom prst="rect">
                          <a:avLst/>
                        </a:prstGeom>
                      </pic:spPr>
                    </pic:pic>
                  </a:graphicData>
                </a:graphic>
              </wp:inline>
            </w:drawing>
          </w:r>
        </w:p>
      </w:tc>
    </w:tr>
  </w:tbl>
  <w:p w14:paraId="491121A8" w14:textId="77777777" w:rsidR="00736452" w:rsidRDefault="00736452">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0E9"/>
    <w:multiLevelType w:val="hybridMultilevel"/>
    <w:tmpl w:val="69DEDFC8"/>
    <w:lvl w:ilvl="0" w:tplc="08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15:restartNumberingAfterBreak="0">
    <w:nsid w:val="02285D94"/>
    <w:multiLevelType w:val="hybridMultilevel"/>
    <w:tmpl w:val="05FCF3F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2069B4"/>
    <w:multiLevelType w:val="hybridMultilevel"/>
    <w:tmpl w:val="F6744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031185"/>
    <w:multiLevelType w:val="hybridMultilevel"/>
    <w:tmpl w:val="5ACA89D2"/>
    <w:lvl w:ilvl="0" w:tplc="08090001">
      <w:start w:val="1"/>
      <w:numFmt w:val="bullet"/>
      <w:lvlText w:val=""/>
      <w:lvlJc w:val="left"/>
      <w:pPr>
        <w:ind w:left="2079" w:hanging="360"/>
      </w:pPr>
      <w:rPr>
        <w:rFonts w:ascii="Symbol" w:hAnsi="Symbol" w:hint="default"/>
      </w:rPr>
    </w:lvl>
    <w:lvl w:ilvl="1" w:tplc="08090003" w:tentative="1">
      <w:start w:val="1"/>
      <w:numFmt w:val="bullet"/>
      <w:lvlText w:val="o"/>
      <w:lvlJc w:val="left"/>
      <w:pPr>
        <w:ind w:left="2799" w:hanging="360"/>
      </w:pPr>
      <w:rPr>
        <w:rFonts w:ascii="Courier New" w:hAnsi="Courier New" w:cs="Courier New" w:hint="default"/>
      </w:rPr>
    </w:lvl>
    <w:lvl w:ilvl="2" w:tplc="08090005" w:tentative="1">
      <w:start w:val="1"/>
      <w:numFmt w:val="bullet"/>
      <w:lvlText w:val=""/>
      <w:lvlJc w:val="left"/>
      <w:pPr>
        <w:ind w:left="3519" w:hanging="360"/>
      </w:pPr>
      <w:rPr>
        <w:rFonts w:ascii="Wingdings" w:hAnsi="Wingdings" w:hint="default"/>
      </w:rPr>
    </w:lvl>
    <w:lvl w:ilvl="3" w:tplc="08090001" w:tentative="1">
      <w:start w:val="1"/>
      <w:numFmt w:val="bullet"/>
      <w:lvlText w:val=""/>
      <w:lvlJc w:val="left"/>
      <w:pPr>
        <w:ind w:left="4239" w:hanging="360"/>
      </w:pPr>
      <w:rPr>
        <w:rFonts w:ascii="Symbol" w:hAnsi="Symbol" w:hint="default"/>
      </w:rPr>
    </w:lvl>
    <w:lvl w:ilvl="4" w:tplc="08090003" w:tentative="1">
      <w:start w:val="1"/>
      <w:numFmt w:val="bullet"/>
      <w:lvlText w:val="o"/>
      <w:lvlJc w:val="left"/>
      <w:pPr>
        <w:ind w:left="4959" w:hanging="360"/>
      </w:pPr>
      <w:rPr>
        <w:rFonts w:ascii="Courier New" w:hAnsi="Courier New" w:cs="Courier New" w:hint="default"/>
      </w:rPr>
    </w:lvl>
    <w:lvl w:ilvl="5" w:tplc="08090005" w:tentative="1">
      <w:start w:val="1"/>
      <w:numFmt w:val="bullet"/>
      <w:lvlText w:val=""/>
      <w:lvlJc w:val="left"/>
      <w:pPr>
        <w:ind w:left="5679" w:hanging="360"/>
      </w:pPr>
      <w:rPr>
        <w:rFonts w:ascii="Wingdings" w:hAnsi="Wingdings" w:hint="default"/>
      </w:rPr>
    </w:lvl>
    <w:lvl w:ilvl="6" w:tplc="08090001" w:tentative="1">
      <w:start w:val="1"/>
      <w:numFmt w:val="bullet"/>
      <w:lvlText w:val=""/>
      <w:lvlJc w:val="left"/>
      <w:pPr>
        <w:ind w:left="6399" w:hanging="360"/>
      </w:pPr>
      <w:rPr>
        <w:rFonts w:ascii="Symbol" w:hAnsi="Symbol" w:hint="default"/>
      </w:rPr>
    </w:lvl>
    <w:lvl w:ilvl="7" w:tplc="08090003" w:tentative="1">
      <w:start w:val="1"/>
      <w:numFmt w:val="bullet"/>
      <w:lvlText w:val="o"/>
      <w:lvlJc w:val="left"/>
      <w:pPr>
        <w:ind w:left="7119" w:hanging="360"/>
      </w:pPr>
      <w:rPr>
        <w:rFonts w:ascii="Courier New" w:hAnsi="Courier New" w:cs="Courier New" w:hint="default"/>
      </w:rPr>
    </w:lvl>
    <w:lvl w:ilvl="8" w:tplc="08090005" w:tentative="1">
      <w:start w:val="1"/>
      <w:numFmt w:val="bullet"/>
      <w:lvlText w:val=""/>
      <w:lvlJc w:val="left"/>
      <w:pPr>
        <w:ind w:left="7839" w:hanging="360"/>
      </w:pPr>
      <w:rPr>
        <w:rFonts w:ascii="Wingdings" w:hAnsi="Wingdings" w:hint="default"/>
      </w:rPr>
    </w:lvl>
  </w:abstractNum>
  <w:abstractNum w:abstractNumId="4" w15:restartNumberingAfterBreak="0">
    <w:nsid w:val="0D693687"/>
    <w:multiLevelType w:val="hybridMultilevel"/>
    <w:tmpl w:val="0C822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15216F"/>
    <w:multiLevelType w:val="hybridMultilevel"/>
    <w:tmpl w:val="9C02794A"/>
    <w:lvl w:ilvl="0" w:tplc="20000009">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01C2AE4"/>
    <w:multiLevelType w:val="hybridMultilevel"/>
    <w:tmpl w:val="1468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AF31B1"/>
    <w:multiLevelType w:val="hybridMultilevel"/>
    <w:tmpl w:val="7130E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D07017"/>
    <w:multiLevelType w:val="hybridMultilevel"/>
    <w:tmpl w:val="CCEE6AF2"/>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AF68D7"/>
    <w:multiLevelType w:val="hybridMultilevel"/>
    <w:tmpl w:val="A936317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9462AC9"/>
    <w:multiLevelType w:val="hybridMultilevel"/>
    <w:tmpl w:val="2B56D488"/>
    <w:lvl w:ilvl="0" w:tplc="0409000F">
      <w:start w:val="1"/>
      <w:numFmt w:val="decimal"/>
      <w:lvlText w:val="%1."/>
      <w:lvlJc w:val="left"/>
      <w:pPr>
        <w:ind w:left="1222" w:hanging="360"/>
      </w:pPr>
      <w:rPr>
        <w:rFonts w:hint="default"/>
      </w:rPr>
    </w:lvl>
    <w:lvl w:ilvl="1" w:tplc="08090003">
      <w:start w:val="1"/>
      <w:numFmt w:val="bullet"/>
      <w:lvlText w:val="o"/>
      <w:lvlJc w:val="left"/>
      <w:pPr>
        <w:ind w:left="1942" w:hanging="360"/>
      </w:pPr>
      <w:rPr>
        <w:rFonts w:ascii="Courier New" w:hAnsi="Courier New" w:cs="Courier New" w:hint="default"/>
      </w:rPr>
    </w:lvl>
    <w:lvl w:ilvl="2" w:tplc="08090005">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1" w15:restartNumberingAfterBreak="0">
    <w:nsid w:val="29F43FA3"/>
    <w:multiLevelType w:val="hybridMultilevel"/>
    <w:tmpl w:val="28384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7325A0"/>
    <w:multiLevelType w:val="hybridMultilevel"/>
    <w:tmpl w:val="2C644A4E"/>
    <w:lvl w:ilvl="0" w:tplc="08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068" w:hanging="360"/>
      </w:pPr>
      <w:rPr>
        <w:rFonts w:ascii="Courier New" w:hAnsi="Courier New" w:cs="Courier New" w:hint="default"/>
      </w:rPr>
    </w:lvl>
    <w:lvl w:ilvl="2" w:tplc="04090005" w:tentative="1">
      <w:start w:val="1"/>
      <w:numFmt w:val="bullet"/>
      <w:lvlText w:val=""/>
      <w:lvlJc w:val="left"/>
      <w:pPr>
        <w:ind w:left="1788" w:hanging="360"/>
      </w:pPr>
      <w:rPr>
        <w:rFonts w:ascii="Wingdings" w:hAnsi="Wingdings" w:hint="default"/>
      </w:rPr>
    </w:lvl>
    <w:lvl w:ilvl="3" w:tplc="04090001" w:tentative="1">
      <w:start w:val="1"/>
      <w:numFmt w:val="bullet"/>
      <w:lvlText w:val=""/>
      <w:lvlJc w:val="left"/>
      <w:pPr>
        <w:ind w:left="2508" w:hanging="360"/>
      </w:pPr>
      <w:rPr>
        <w:rFonts w:ascii="Symbol" w:hAnsi="Symbol" w:hint="default"/>
      </w:rPr>
    </w:lvl>
    <w:lvl w:ilvl="4" w:tplc="04090003" w:tentative="1">
      <w:start w:val="1"/>
      <w:numFmt w:val="bullet"/>
      <w:lvlText w:val="o"/>
      <w:lvlJc w:val="left"/>
      <w:pPr>
        <w:ind w:left="3228" w:hanging="360"/>
      </w:pPr>
      <w:rPr>
        <w:rFonts w:ascii="Courier New" w:hAnsi="Courier New" w:cs="Courier New" w:hint="default"/>
      </w:rPr>
    </w:lvl>
    <w:lvl w:ilvl="5" w:tplc="04090005" w:tentative="1">
      <w:start w:val="1"/>
      <w:numFmt w:val="bullet"/>
      <w:lvlText w:val=""/>
      <w:lvlJc w:val="left"/>
      <w:pPr>
        <w:ind w:left="3948" w:hanging="360"/>
      </w:pPr>
      <w:rPr>
        <w:rFonts w:ascii="Wingdings" w:hAnsi="Wingdings" w:hint="default"/>
      </w:rPr>
    </w:lvl>
    <w:lvl w:ilvl="6" w:tplc="04090001" w:tentative="1">
      <w:start w:val="1"/>
      <w:numFmt w:val="bullet"/>
      <w:lvlText w:val=""/>
      <w:lvlJc w:val="left"/>
      <w:pPr>
        <w:ind w:left="4668" w:hanging="360"/>
      </w:pPr>
      <w:rPr>
        <w:rFonts w:ascii="Symbol" w:hAnsi="Symbol" w:hint="default"/>
      </w:rPr>
    </w:lvl>
    <w:lvl w:ilvl="7" w:tplc="04090003" w:tentative="1">
      <w:start w:val="1"/>
      <w:numFmt w:val="bullet"/>
      <w:lvlText w:val="o"/>
      <w:lvlJc w:val="left"/>
      <w:pPr>
        <w:ind w:left="5388" w:hanging="360"/>
      </w:pPr>
      <w:rPr>
        <w:rFonts w:ascii="Courier New" w:hAnsi="Courier New" w:cs="Courier New" w:hint="default"/>
      </w:rPr>
    </w:lvl>
    <w:lvl w:ilvl="8" w:tplc="04090005" w:tentative="1">
      <w:start w:val="1"/>
      <w:numFmt w:val="bullet"/>
      <w:lvlText w:val=""/>
      <w:lvlJc w:val="left"/>
      <w:pPr>
        <w:ind w:left="6108" w:hanging="360"/>
      </w:pPr>
      <w:rPr>
        <w:rFonts w:ascii="Wingdings" w:hAnsi="Wingdings" w:hint="default"/>
      </w:rPr>
    </w:lvl>
  </w:abstractNum>
  <w:abstractNum w:abstractNumId="13" w15:restartNumberingAfterBreak="0">
    <w:nsid w:val="31636F52"/>
    <w:multiLevelType w:val="hybridMultilevel"/>
    <w:tmpl w:val="4DEAA222"/>
    <w:lvl w:ilvl="0" w:tplc="BA586EE2">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75B5593"/>
    <w:multiLevelType w:val="hybridMultilevel"/>
    <w:tmpl w:val="6240C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194CD7"/>
    <w:multiLevelType w:val="hybridMultilevel"/>
    <w:tmpl w:val="65781738"/>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A3E1984"/>
    <w:multiLevelType w:val="hybridMultilevel"/>
    <w:tmpl w:val="14205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5E55CD"/>
    <w:multiLevelType w:val="hybridMultilevel"/>
    <w:tmpl w:val="A828B98E"/>
    <w:lvl w:ilvl="0" w:tplc="08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EF86EB9"/>
    <w:multiLevelType w:val="hybridMultilevel"/>
    <w:tmpl w:val="50D219CA"/>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39A2922"/>
    <w:multiLevelType w:val="hybridMultilevel"/>
    <w:tmpl w:val="6C649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E40255"/>
    <w:multiLevelType w:val="hybridMultilevel"/>
    <w:tmpl w:val="22CA0BBC"/>
    <w:lvl w:ilvl="0" w:tplc="27AEB9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AC6AC2"/>
    <w:multiLevelType w:val="hybridMultilevel"/>
    <w:tmpl w:val="E03ACC80"/>
    <w:lvl w:ilvl="0" w:tplc="100C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CFE6B96"/>
    <w:multiLevelType w:val="hybridMultilevel"/>
    <w:tmpl w:val="6D861AF2"/>
    <w:lvl w:ilvl="0" w:tplc="10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386307"/>
    <w:multiLevelType w:val="hybridMultilevel"/>
    <w:tmpl w:val="86AA8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EE7192"/>
    <w:multiLevelType w:val="hybridMultilevel"/>
    <w:tmpl w:val="8B4EC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5C32C5"/>
    <w:multiLevelType w:val="hybridMultilevel"/>
    <w:tmpl w:val="FFFFFFFF"/>
    <w:lvl w:ilvl="0" w:tplc="F7728D60">
      <w:start w:val="1"/>
      <w:numFmt w:val="bullet"/>
      <w:lvlText w:val=""/>
      <w:lvlJc w:val="left"/>
      <w:pPr>
        <w:ind w:left="720" w:hanging="360"/>
      </w:pPr>
      <w:rPr>
        <w:rFonts w:ascii="Symbol" w:hAnsi="Symbol" w:hint="default"/>
      </w:rPr>
    </w:lvl>
    <w:lvl w:ilvl="1" w:tplc="38EC3BB0">
      <w:start w:val="1"/>
      <w:numFmt w:val="bullet"/>
      <w:lvlText w:val="o"/>
      <w:lvlJc w:val="left"/>
      <w:pPr>
        <w:ind w:left="1440" w:hanging="360"/>
      </w:pPr>
      <w:rPr>
        <w:rFonts w:ascii="Courier New" w:hAnsi="Courier New" w:hint="default"/>
      </w:rPr>
    </w:lvl>
    <w:lvl w:ilvl="2" w:tplc="21E805FC">
      <w:start w:val="1"/>
      <w:numFmt w:val="bullet"/>
      <w:lvlText w:val=""/>
      <w:lvlJc w:val="left"/>
      <w:pPr>
        <w:ind w:left="2160" w:hanging="360"/>
      </w:pPr>
      <w:rPr>
        <w:rFonts w:ascii="Wingdings" w:hAnsi="Wingdings" w:hint="default"/>
      </w:rPr>
    </w:lvl>
    <w:lvl w:ilvl="3" w:tplc="EF9831DC">
      <w:start w:val="1"/>
      <w:numFmt w:val="bullet"/>
      <w:lvlText w:val=""/>
      <w:lvlJc w:val="left"/>
      <w:pPr>
        <w:ind w:left="2880" w:hanging="360"/>
      </w:pPr>
      <w:rPr>
        <w:rFonts w:ascii="Symbol" w:hAnsi="Symbol" w:hint="default"/>
      </w:rPr>
    </w:lvl>
    <w:lvl w:ilvl="4" w:tplc="2FB6BC92">
      <w:start w:val="1"/>
      <w:numFmt w:val="bullet"/>
      <w:lvlText w:val="o"/>
      <w:lvlJc w:val="left"/>
      <w:pPr>
        <w:ind w:left="3600" w:hanging="360"/>
      </w:pPr>
      <w:rPr>
        <w:rFonts w:ascii="Courier New" w:hAnsi="Courier New" w:hint="default"/>
      </w:rPr>
    </w:lvl>
    <w:lvl w:ilvl="5" w:tplc="C1823E80">
      <w:start w:val="1"/>
      <w:numFmt w:val="bullet"/>
      <w:lvlText w:val=""/>
      <w:lvlJc w:val="left"/>
      <w:pPr>
        <w:ind w:left="4320" w:hanging="360"/>
      </w:pPr>
      <w:rPr>
        <w:rFonts w:ascii="Wingdings" w:hAnsi="Wingdings" w:hint="default"/>
      </w:rPr>
    </w:lvl>
    <w:lvl w:ilvl="6" w:tplc="0102FDFA">
      <w:start w:val="1"/>
      <w:numFmt w:val="bullet"/>
      <w:lvlText w:val=""/>
      <w:lvlJc w:val="left"/>
      <w:pPr>
        <w:ind w:left="5040" w:hanging="360"/>
      </w:pPr>
      <w:rPr>
        <w:rFonts w:ascii="Symbol" w:hAnsi="Symbol" w:hint="default"/>
      </w:rPr>
    </w:lvl>
    <w:lvl w:ilvl="7" w:tplc="E4F0553E">
      <w:start w:val="1"/>
      <w:numFmt w:val="bullet"/>
      <w:lvlText w:val="o"/>
      <w:lvlJc w:val="left"/>
      <w:pPr>
        <w:ind w:left="5760" w:hanging="360"/>
      </w:pPr>
      <w:rPr>
        <w:rFonts w:ascii="Courier New" w:hAnsi="Courier New" w:hint="default"/>
      </w:rPr>
    </w:lvl>
    <w:lvl w:ilvl="8" w:tplc="B2669C42">
      <w:start w:val="1"/>
      <w:numFmt w:val="bullet"/>
      <w:lvlText w:val=""/>
      <w:lvlJc w:val="left"/>
      <w:pPr>
        <w:ind w:left="6480" w:hanging="360"/>
      </w:pPr>
      <w:rPr>
        <w:rFonts w:ascii="Wingdings" w:hAnsi="Wingdings" w:hint="default"/>
      </w:rPr>
    </w:lvl>
  </w:abstractNum>
  <w:abstractNum w:abstractNumId="26" w15:restartNumberingAfterBreak="0">
    <w:nsid w:val="5CAD1491"/>
    <w:multiLevelType w:val="hybridMultilevel"/>
    <w:tmpl w:val="77BCDBEC"/>
    <w:lvl w:ilvl="0" w:tplc="10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53297D"/>
    <w:multiLevelType w:val="hybridMultilevel"/>
    <w:tmpl w:val="C6C4FE90"/>
    <w:lvl w:ilvl="0" w:tplc="40E0242A">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915598"/>
    <w:multiLevelType w:val="hybridMultilevel"/>
    <w:tmpl w:val="99CA465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8822C4"/>
    <w:multiLevelType w:val="hybridMultilevel"/>
    <w:tmpl w:val="C12A0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C81343"/>
    <w:multiLevelType w:val="hybridMultilevel"/>
    <w:tmpl w:val="71C4C500"/>
    <w:lvl w:ilvl="0" w:tplc="100C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EA1639B"/>
    <w:multiLevelType w:val="hybridMultilevel"/>
    <w:tmpl w:val="FF2E257E"/>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984F58"/>
    <w:multiLevelType w:val="hybridMultilevel"/>
    <w:tmpl w:val="FFFFFFFF"/>
    <w:lvl w:ilvl="0" w:tplc="55F40040">
      <w:start w:val="1"/>
      <w:numFmt w:val="bullet"/>
      <w:lvlText w:val=""/>
      <w:lvlJc w:val="left"/>
      <w:pPr>
        <w:ind w:left="720" w:hanging="360"/>
      </w:pPr>
      <w:rPr>
        <w:rFonts w:ascii="Symbol" w:hAnsi="Symbol" w:hint="default"/>
      </w:rPr>
    </w:lvl>
    <w:lvl w:ilvl="1" w:tplc="D8386DEC">
      <w:start w:val="1"/>
      <w:numFmt w:val="bullet"/>
      <w:lvlText w:val="o"/>
      <w:lvlJc w:val="left"/>
      <w:pPr>
        <w:ind w:left="1440" w:hanging="360"/>
      </w:pPr>
      <w:rPr>
        <w:rFonts w:ascii="Courier New" w:hAnsi="Courier New" w:hint="default"/>
      </w:rPr>
    </w:lvl>
    <w:lvl w:ilvl="2" w:tplc="4F04B046">
      <w:start w:val="1"/>
      <w:numFmt w:val="bullet"/>
      <w:lvlText w:val=""/>
      <w:lvlJc w:val="left"/>
      <w:pPr>
        <w:ind w:left="2160" w:hanging="360"/>
      </w:pPr>
      <w:rPr>
        <w:rFonts w:ascii="Wingdings" w:hAnsi="Wingdings" w:hint="default"/>
      </w:rPr>
    </w:lvl>
    <w:lvl w:ilvl="3" w:tplc="E51AD1E2">
      <w:start w:val="1"/>
      <w:numFmt w:val="bullet"/>
      <w:lvlText w:val=""/>
      <w:lvlJc w:val="left"/>
      <w:pPr>
        <w:ind w:left="2880" w:hanging="360"/>
      </w:pPr>
      <w:rPr>
        <w:rFonts w:ascii="Symbol" w:hAnsi="Symbol" w:hint="default"/>
      </w:rPr>
    </w:lvl>
    <w:lvl w:ilvl="4" w:tplc="7AC442AE">
      <w:start w:val="1"/>
      <w:numFmt w:val="bullet"/>
      <w:lvlText w:val="o"/>
      <w:lvlJc w:val="left"/>
      <w:pPr>
        <w:ind w:left="3600" w:hanging="360"/>
      </w:pPr>
      <w:rPr>
        <w:rFonts w:ascii="Courier New" w:hAnsi="Courier New" w:hint="default"/>
      </w:rPr>
    </w:lvl>
    <w:lvl w:ilvl="5" w:tplc="95684518">
      <w:start w:val="1"/>
      <w:numFmt w:val="bullet"/>
      <w:lvlText w:val=""/>
      <w:lvlJc w:val="left"/>
      <w:pPr>
        <w:ind w:left="4320" w:hanging="360"/>
      </w:pPr>
      <w:rPr>
        <w:rFonts w:ascii="Wingdings" w:hAnsi="Wingdings" w:hint="default"/>
      </w:rPr>
    </w:lvl>
    <w:lvl w:ilvl="6" w:tplc="0F5CA8A0">
      <w:start w:val="1"/>
      <w:numFmt w:val="bullet"/>
      <w:lvlText w:val=""/>
      <w:lvlJc w:val="left"/>
      <w:pPr>
        <w:ind w:left="5040" w:hanging="360"/>
      </w:pPr>
      <w:rPr>
        <w:rFonts w:ascii="Symbol" w:hAnsi="Symbol" w:hint="default"/>
      </w:rPr>
    </w:lvl>
    <w:lvl w:ilvl="7" w:tplc="95601044">
      <w:start w:val="1"/>
      <w:numFmt w:val="bullet"/>
      <w:lvlText w:val="o"/>
      <w:lvlJc w:val="left"/>
      <w:pPr>
        <w:ind w:left="5760" w:hanging="360"/>
      </w:pPr>
      <w:rPr>
        <w:rFonts w:ascii="Courier New" w:hAnsi="Courier New" w:hint="default"/>
      </w:rPr>
    </w:lvl>
    <w:lvl w:ilvl="8" w:tplc="7A466D3C">
      <w:start w:val="1"/>
      <w:numFmt w:val="bullet"/>
      <w:lvlText w:val=""/>
      <w:lvlJc w:val="left"/>
      <w:pPr>
        <w:ind w:left="6480" w:hanging="360"/>
      </w:pPr>
      <w:rPr>
        <w:rFonts w:ascii="Wingdings" w:hAnsi="Wingdings" w:hint="default"/>
      </w:rPr>
    </w:lvl>
  </w:abstractNum>
  <w:abstractNum w:abstractNumId="33" w15:restartNumberingAfterBreak="0">
    <w:nsid w:val="71162091"/>
    <w:multiLevelType w:val="hybridMultilevel"/>
    <w:tmpl w:val="0B4A8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EC4872"/>
    <w:multiLevelType w:val="hybridMultilevel"/>
    <w:tmpl w:val="FBDCF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4E14F9"/>
    <w:multiLevelType w:val="hybridMultilevel"/>
    <w:tmpl w:val="774E8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7D1543"/>
    <w:multiLevelType w:val="hybridMultilevel"/>
    <w:tmpl w:val="B3AC7754"/>
    <w:lvl w:ilvl="0" w:tplc="59C41C6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B60C0D"/>
    <w:multiLevelType w:val="hybridMultilevel"/>
    <w:tmpl w:val="FA486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1942FD"/>
    <w:multiLevelType w:val="hybridMultilevel"/>
    <w:tmpl w:val="4F2A699C"/>
    <w:lvl w:ilvl="0" w:tplc="1EB66C0C">
      <w:start w:val="1"/>
      <w:numFmt w:val="bullet"/>
      <w:lvlText w:val=""/>
      <w:lvlJc w:val="left"/>
      <w:pPr>
        <w:ind w:left="720" w:hanging="360"/>
      </w:pPr>
      <w:rPr>
        <w:rFonts w:ascii="Symbol" w:hAnsi="Symbol" w:hint="default"/>
      </w:rPr>
    </w:lvl>
    <w:lvl w:ilvl="1" w:tplc="6F5472F6">
      <w:start w:val="1"/>
      <w:numFmt w:val="bullet"/>
      <w:lvlText w:val="o"/>
      <w:lvlJc w:val="left"/>
      <w:pPr>
        <w:ind w:left="1440" w:hanging="360"/>
      </w:pPr>
      <w:rPr>
        <w:rFonts w:ascii="Courier New" w:hAnsi="Courier New" w:hint="default"/>
      </w:rPr>
    </w:lvl>
    <w:lvl w:ilvl="2" w:tplc="AE5A4666">
      <w:start w:val="1"/>
      <w:numFmt w:val="bullet"/>
      <w:lvlText w:val=""/>
      <w:lvlJc w:val="left"/>
      <w:pPr>
        <w:ind w:left="2160" w:hanging="360"/>
      </w:pPr>
      <w:rPr>
        <w:rFonts w:ascii="Wingdings" w:hAnsi="Wingdings" w:hint="default"/>
      </w:rPr>
    </w:lvl>
    <w:lvl w:ilvl="3" w:tplc="2334E7B6">
      <w:start w:val="1"/>
      <w:numFmt w:val="bullet"/>
      <w:lvlText w:val=""/>
      <w:lvlJc w:val="left"/>
      <w:pPr>
        <w:ind w:left="2880" w:hanging="360"/>
      </w:pPr>
      <w:rPr>
        <w:rFonts w:ascii="Symbol" w:hAnsi="Symbol" w:hint="default"/>
      </w:rPr>
    </w:lvl>
    <w:lvl w:ilvl="4" w:tplc="E23E14AC">
      <w:start w:val="1"/>
      <w:numFmt w:val="bullet"/>
      <w:lvlText w:val="o"/>
      <w:lvlJc w:val="left"/>
      <w:pPr>
        <w:ind w:left="3600" w:hanging="360"/>
      </w:pPr>
      <w:rPr>
        <w:rFonts w:ascii="Courier New" w:hAnsi="Courier New" w:hint="default"/>
      </w:rPr>
    </w:lvl>
    <w:lvl w:ilvl="5" w:tplc="8346B32C">
      <w:start w:val="1"/>
      <w:numFmt w:val="bullet"/>
      <w:lvlText w:val=""/>
      <w:lvlJc w:val="left"/>
      <w:pPr>
        <w:ind w:left="4320" w:hanging="360"/>
      </w:pPr>
      <w:rPr>
        <w:rFonts w:ascii="Wingdings" w:hAnsi="Wingdings" w:hint="default"/>
      </w:rPr>
    </w:lvl>
    <w:lvl w:ilvl="6" w:tplc="417820A8">
      <w:start w:val="1"/>
      <w:numFmt w:val="bullet"/>
      <w:lvlText w:val=""/>
      <w:lvlJc w:val="left"/>
      <w:pPr>
        <w:ind w:left="5040" w:hanging="360"/>
      </w:pPr>
      <w:rPr>
        <w:rFonts w:ascii="Symbol" w:hAnsi="Symbol" w:hint="default"/>
      </w:rPr>
    </w:lvl>
    <w:lvl w:ilvl="7" w:tplc="529CB006">
      <w:start w:val="1"/>
      <w:numFmt w:val="bullet"/>
      <w:lvlText w:val="o"/>
      <w:lvlJc w:val="left"/>
      <w:pPr>
        <w:ind w:left="5760" w:hanging="360"/>
      </w:pPr>
      <w:rPr>
        <w:rFonts w:ascii="Courier New" w:hAnsi="Courier New" w:hint="default"/>
      </w:rPr>
    </w:lvl>
    <w:lvl w:ilvl="8" w:tplc="5B46F954">
      <w:start w:val="1"/>
      <w:numFmt w:val="bullet"/>
      <w:lvlText w:val=""/>
      <w:lvlJc w:val="left"/>
      <w:pPr>
        <w:ind w:left="6480" w:hanging="360"/>
      </w:pPr>
      <w:rPr>
        <w:rFonts w:ascii="Wingdings" w:hAnsi="Wingdings" w:hint="default"/>
      </w:rPr>
    </w:lvl>
  </w:abstractNum>
  <w:abstractNum w:abstractNumId="39" w15:restartNumberingAfterBreak="0">
    <w:nsid w:val="7DA03778"/>
    <w:multiLevelType w:val="hybridMultilevel"/>
    <w:tmpl w:val="884662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31792E"/>
    <w:multiLevelType w:val="hybridMultilevel"/>
    <w:tmpl w:val="FFFFFFFF"/>
    <w:lvl w:ilvl="0" w:tplc="758AAA1C">
      <w:start w:val="1"/>
      <w:numFmt w:val="bullet"/>
      <w:lvlText w:val=""/>
      <w:lvlJc w:val="left"/>
      <w:pPr>
        <w:ind w:left="720" w:hanging="360"/>
      </w:pPr>
      <w:rPr>
        <w:rFonts w:ascii="Symbol" w:hAnsi="Symbol" w:hint="default"/>
      </w:rPr>
    </w:lvl>
    <w:lvl w:ilvl="1" w:tplc="65C8FE66">
      <w:start w:val="1"/>
      <w:numFmt w:val="bullet"/>
      <w:lvlText w:val="o"/>
      <w:lvlJc w:val="left"/>
      <w:pPr>
        <w:ind w:left="1440" w:hanging="360"/>
      </w:pPr>
      <w:rPr>
        <w:rFonts w:ascii="Courier New" w:hAnsi="Courier New" w:hint="default"/>
      </w:rPr>
    </w:lvl>
    <w:lvl w:ilvl="2" w:tplc="1CC88408">
      <w:start w:val="1"/>
      <w:numFmt w:val="bullet"/>
      <w:lvlText w:val=""/>
      <w:lvlJc w:val="left"/>
      <w:pPr>
        <w:ind w:left="2160" w:hanging="360"/>
      </w:pPr>
      <w:rPr>
        <w:rFonts w:ascii="Wingdings" w:hAnsi="Wingdings" w:hint="default"/>
      </w:rPr>
    </w:lvl>
    <w:lvl w:ilvl="3" w:tplc="9A10CBC0">
      <w:start w:val="1"/>
      <w:numFmt w:val="bullet"/>
      <w:lvlText w:val=""/>
      <w:lvlJc w:val="left"/>
      <w:pPr>
        <w:ind w:left="2880" w:hanging="360"/>
      </w:pPr>
      <w:rPr>
        <w:rFonts w:ascii="Symbol" w:hAnsi="Symbol" w:hint="default"/>
      </w:rPr>
    </w:lvl>
    <w:lvl w:ilvl="4" w:tplc="1666CDBE">
      <w:start w:val="1"/>
      <w:numFmt w:val="bullet"/>
      <w:lvlText w:val="o"/>
      <w:lvlJc w:val="left"/>
      <w:pPr>
        <w:ind w:left="3600" w:hanging="360"/>
      </w:pPr>
      <w:rPr>
        <w:rFonts w:ascii="Courier New" w:hAnsi="Courier New" w:hint="default"/>
      </w:rPr>
    </w:lvl>
    <w:lvl w:ilvl="5" w:tplc="71EA9256">
      <w:start w:val="1"/>
      <w:numFmt w:val="bullet"/>
      <w:lvlText w:val=""/>
      <w:lvlJc w:val="left"/>
      <w:pPr>
        <w:ind w:left="4320" w:hanging="360"/>
      </w:pPr>
      <w:rPr>
        <w:rFonts w:ascii="Wingdings" w:hAnsi="Wingdings" w:hint="default"/>
      </w:rPr>
    </w:lvl>
    <w:lvl w:ilvl="6" w:tplc="88023B0C">
      <w:start w:val="1"/>
      <w:numFmt w:val="bullet"/>
      <w:lvlText w:val=""/>
      <w:lvlJc w:val="left"/>
      <w:pPr>
        <w:ind w:left="5040" w:hanging="360"/>
      </w:pPr>
      <w:rPr>
        <w:rFonts w:ascii="Symbol" w:hAnsi="Symbol" w:hint="default"/>
      </w:rPr>
    </w:lvl>
    <w:lvl w:ilvl="7" w:tplc="8362B19C">
      <w:start w:val="1"/>
      <w:numFmt w:val="bullet"/>
      <w:lvlText w:val="o"/>
      <w:lvlJc w:val="left"/>
      <w:pPr>
        <w:ind w:left="5760" w:hanging="360"/>
      </w:pPr>
      <w:rPr>
        <w:rFonts w:ascii="Courier New" w:hAnsi="Courier New" w:hint="default"/>
      </w:rPr>
    </w:lvl>
    <w:lvl w:ilvl="8" w:tplc="5F9EBDB0">
      <w:start w:val="1"/>
      <w:numFmt w:val="bullet"/>
      <w:lvlText w:val=""/>
      <w:lvlJc w:val="left"/>
      <w:pPr>
        <w:ind w:left="6480" w:hanging="360"/>
      </w:pPr>
      <w:rPr>
        <w:rFonts w:ascii="Wingdings" w:hAnsi="Wingdings" w:hint="default"/>
      </w:rPr>
    </w:lvl>
  </w:abstractNum>
  <w:abstractNum w:abstractNumId="41" w15:restartNumberingAfterBreak="0">
    <w:nsid w:val="7E585CAA"/>
    <w:multiLevelType w:val="hybridMultilevel"/>
    <w:tmpl w:val="6E3688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108885240">
    <w:abstractNumId w:val="32"/>
  </w:num>
  <w:num w:numId="2" w16cid:durableId="1340110941">
    <w:abstractNumId w:val="25"/>
  </w:num>
  <w:num w:numId="3" w16cid:durableId="2095473109">
    <w:abstractNumId w:val="40"/>
  </w:num>
  <w:num w:numId="4" w16cid:durableId="1720279951">
    <w:abstractNumId w:val="8"/>
  </w:num>
  <w:num w:numId="5" w16cid:durableId="965742327">
    <w:abstractNumId w:val="28"/>
  </w:num>
  <w:num w:numId="6" w16cid:durableId="1157068616">
    <w:abstractNumId w:val="9"/>
  </w:num>
  <w:num w:numId="7" w16cid:durableId="747579428">
    <w:abstractNumId w:val="3"/>
  </w:num>
  <w:num w:numId="8" w16cid:durableId="1807358350">
    <w:abstractNumId w:val="31"/>
  </w:num>
  <w:num w:numId="9" w16cid:durableId="2104838069">
    <w:abstractNumId w:val="27"/>
  </w:num>
  <w:num w:numId="10" w16cid:durableId="1024402251">
    <w:abstractNumId w:val="36"/>
  </w:num>
  <w:num w:numId="11" w16cid:durableId="898857388">
    <w:abstractNumId w:val="37"/>
  </w:num>
  <w:num w:numId="12" w16cid:durableId="168376067">
    <w:abstractNumId w:val="33"/>
  </w:num>
  <w:num w:numId="13" w16cid:durableId="1974435304">
    <w:abstractNumId w:val="4"/>
  </w:num>
  <w:num w:numId="14" w16cid:durableId="1097017003">
    <w:abstractNumId w:val="11"/>
  </w:num>
  <w:num w:numId="15" w16cid:durableId="760568981">
    <w:abstractNumId w:val="19"/>
  </w:num>
  <w:num w:numId="16" w16cid:durableId="971208204">
    <w:abstractNumId w:val="26"/>
  </w:num>
  <w:num w:numId="17" w16cid:durableId="304092773">
    <w:abstractNumId w:val="34"/>
  </w:num>
  <w:num w:numId="18" w16cid:durableId="1257399367">
    <w:abstractNumId w:val="21"/>
  </w:num>
  <w:num w:numId="19" w16cid:durableId="929701403">
    <w:abstractNumId w:val="35"/>
  </w:num>
  <w:num w:numId="20" w16cid:durableId="896009496">
    <w:abstractNumId w:val="30"/>
  </w:num>
  <w:num w:numId="21" w16cid:durableId="1325014094">
    <w:abstractNumId w:val="41"/>
  </w:num>
  <w:num w:numId="22" w16cid:durableId="1071849492">
    <w:abstractNumId w:val="22"/>
  </w:num>
  <w:num w:numId="23" w16cid:durableId="1916813437">
    <w:abstractNumId w:val="2"/>
  </w:num>
  <w:num w:numId="24" w16cid:durableId="783380166">
    <w:abstractNumId w:val="29"/>
  </w:num>
  <w:num w:numId="25" w16cid:durableId="49310586">
    <w:abstractNumId w:val="14"/>
  </w:num>
  <w:num w:numId="26" w16cid:durableId="1048458035">
    <w:abstractNumId w:val="23"/>
  </w:num>
  <w:num w:numId="27" w16cid:durableId="1019889207">
    <w:abstractNumId w:val="1"/>
  </w:num>
  <w:num w:numId="28" w16cid:durableId="1053581051">
    <w:abstractNumId w:val="6"/>
  </w:num>
  <w:num w:numId="29" w16cid:durableId="353384046">
    <w:abstractNumId w:val="0"/>
  </w:num>
  <w:num w:numId="30" w16cid:durableId="720322531">
    <w:abstractNumId w:val="12"/>
  </w:num>
  <w:num w:numId="31" w16cid:durableId="191236542">
    <w:abstractNumId w:val="39"/>
  </w:num>
  <w:num w:numId="32" w16cid:durableId="627052115">
    <w:abstractNumId w:val="20"/>
  </w:num>
  <w:num w:numId="33" w16cid:durableId="624972339">
    <w:abstractNumId w:val="7"/>
  </w:num>
  <w:num w:numId="34" w16cid:durableId="1492519914">
    <w:abstractNumId w:val="15"/>
  </w:num>
  <w:num w:numId="35" w16cid:durableId="1722049152">
    <w:abstractNumId w:val="18"/>
  </w:num>
  <w:num w:numId="36" w16cid:durableId="1967542062">
    <w:abstractNumId w:val="10"/>
  </w:num>
  <w:num w:numId="37" w16cid:durableId="612711018">
    <w:abstractNumId w:val="24"/>
  </w:num>
  <w:num w:numId="38" w16cid:durableId="1627856064">
    <w:abstractNumId w:val="16"/>
  </w:num>
  <w:num w:numId="39" w16cid:durableId="1717849578">
    <w:abstractNumId w:val="13"/>
  </w:num>
  <w:num w:numId="40" w16cid:durableId="1670134237">
    <w:abstractNumId w:val="5"/>
  </w:num>
  <w:num w:numId="41" w16cid:durableId="1344238708">
    <w:abstractNumId w:val="17"/>
  </w:num>
  <w:num w:numId="42" w16cid:durableId="214565975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E0NDO1NDczN7MAMpV0lIJTi4sz8/NACoxrAZBlkE0sAAAA"/>
  </w:docVars>
  <w:rsids>
    <w:rsidRoot w:val="00E677B3"/>
    <w:rsid w:val="0000297C"/>
    <w:rsid w:val="0000362D"/>
    <w:rsid w:val="00005149"/>
    <w:rsid w:val="00012BCD"/>
    <w:rsid w:val="00016254"/>
    <w:rsid w:val="00020183"/>
    <w:rsid w:val="00022718"/>
    <w:rsid w:val="000238BE"/>
    <w:rsid w:val="000339ED"/>
    <w:rsid w:val="000342ED"/>
    <w:rsid w:val="00044277"/>
    <w:rsid w:val="0004549A"/>
    <w:rsid w:val="0004639E"/>
    <w:rsid w:val="000464A9"/>
    <w:rsid w:val="00051862"/>
    <w:rsid w:val="000533DD"/>
    <w:rsid w:val="000549C7"/>
    <w:rsid w:val="000604B3"/>
    <w:rsid w:val="00061AF7"/>
    <w:rsid w:val="0007479A"/>
    <w:rsid w:val="000776AC"/>
    <w:rsid w:val="000839E5"/>
    <w:rsid w:val="00087B84"/>
    <w:rsid w:val="00087C39"/>
    <w:rsid w:val="00087EE7"/>
    <w:rsid w:val="00090D8E"/>
    <w:rsid w:val="00092E79"/>
    <w:rsid w:val="00095BDD"/>
    <w:rsid w:val="00097F56"/>
    <w:rsid w:val="000A10F1"/>
    <w:rsid w:val="000B0BF3"/>
    <w:rsid w:val="000B1137"/>
    <w:rsid w:val="000B32E0"/>
    <w:rsid w:val="000B57C1"/>
    <w:rsid w:val="000C32FB"/>
    <w:rsid w:val="000C3BFD"/>
    <w:rsid w:val="000C5387"/>
    <w:rsid w:val="000C732B"/>
    <w:rsid w:val="000D54CB"/>
    <w:rsid w:val="000D6EE8"/>
    <w:rsid w:val="000D7585"/>
    <w:rsid w:val="000E6F0B"/>
    <w:rsid w:val="000F43B0"/>
    <w:rsid w:val="000F5FB4"/>
    <w:rsid w:val="000F6807"/>
    <w:rsid w:val="001007DD"/>
    <w:rsid w:val="001023E7"/>
    <w:rsid w:val="001025D8"/>
    <w:rsid w:val="001058F6"/>
    <w:rsid w:val="00107A8F"/>
    <w:rsid w:val="00114972"/>
    <w:rsid w:val="00115604"/>
    <w:rsid w:val="00122B81"/>
    <w:rsid w:val="00122D75"/>
    <w:rsid w:val="0012390C"/>
    <w:rsid w:val="00123A49"/>
    <w:rsid w:val="001245BE"/>
    <w:rsid w:val="00145346"/>
    <w:rsid w:val="00146F2B"/>
    <w:rsid w:val="001510A9"/>
    <w:rsid w:val="00153113"/>
    <w:rsid w:val="00156370"/>
    <w:rsid w:val="0015743B"/>
    <w:rsid w:val="00173B46"/>
    <w:rsid w:val="0018093A"/>
    <w:rsid w:val="001809F4"/>
    <w:rsid w:val="00181935"/>
    <w:rsid w:val="00181D1C"/>
    <w:rsid w:val="00184D98"/>
    <w:rsid w:val="001903C9"/>
    <w:rsid w:val="00193086"/>
    <w:rsid w:val="00196116"/>
    <w:rsid w:val="001A5035"/>
    <w:rsid w:val="001A5486"/>
    <w:rsid w:val="001A57F6"/>
    <w:rsid w:val="001B166E"/>
    <w:rsid w:val="001C2A6C"/>
    <w:rsid w:val="001C432A"/>
    <w:rsid w:val="001C7A05"/>
    <w:rsid w:val="001D123C"/>
    <w:rsid w:val="001D70D7"/>
    <w:rsid w:val="001D7742"/>
    <w:rsid w:val="001E0ED5"/>
    <w:rsid w:val="001E63C7"/>
    <w:rsid w:val="001F5515"/>
    <w:rsid w:val="002173DA"/>
    <w:rsid w:val="00220708"/>
    <w:rsid w:val="00224392"/>
    <w:rsid w:val="00224D35"/>
    <w:rsid w:val="00231FCC"/>
    <w:rsid w:val="00234634"/>
    <w:rsid w:val="00237645"/>
    <w:rsid w:val="00241FAF"/>
    <w:rsid w:val="002429EC"/>
    <w:rsid w:val="0024451B"/>
    <w:rsid w:val="00246C31"/>
    <w:rsid w:val="00254608"/>
    <w:rsid w:val="00260792"/>
    <w:rsid w:val="002610A7"/>
    <w:rsid w:val="002622E4"/>
    <w:rsid w:val="002628D8"/>
    <w:rsid w:val="002649F5"/>
    <w:rsid w:val="00274C0C"/>
    <w:rsid w:val="00275E67"/>
    <w:rsid w:val="002808D7"/>
    <w:rsid w:val="002A0478"/>
    <w:rsid w:val="002A623D"/>
    <w:rsid w:val="002A66E3"/>
    <w:rsid w:val="002A70CB"/>
    <w:rsid w:val="002B055A"/>
    <w:rsid w:val="002B746B"/>
    <w:rsid w:val="002C5F50"/>
    <w:rsid w:val="002D292F"/>
    <w:rsid w:val="002D553F"/>
    <w:rsid w:val="002D7987"/>
    <w:rsid w:val="002E698C"/>
    <w:rsid w:val="002E7313"/>
    <w:rsid w:val="003062F9"/>
    <w:rsid w:val="00307D5D"/>
    <w:rsid w:val="00307F6F"/>
    <w:rsid w:val="00315A69"/>
    <w:rsid w:val="00316F08"/>
    <w:rsid w:val="00320307"/>
    <w:rsid w:val="00321E1C"/>
    <w:rsid w:val="00324D5E"/>
    <w:rsid w:val="003408D2"/>
    <w:rsid w:val="003427BA"/>
    <w:rsid w:val="00354EA6"/>
    <w:rsid w:val="0036064D"/>
    <w:rsid w:val="0036331A"/>
    <w:rsid w:val="00363963"/>
    <w:rsid w:val="00364B5C"/>
    <w:rsid w:val="003762B5"/>
    <w:rsid w:val="003814B8"/>
    <w:rsid w:val="003843CF"/>
    <w:rsid w:val="00391DBF"/>
    <w:rsid w:val="00392D3F"/>
    <w:rsid w:val="00393606"/>
    <w:rsid w:val="0039416D"/>
    <w:rsid w:val="00397640"/>
    <w:rsid w:val="003A155B"/>
    <w:rsid w:val="003A18CE"/>
    <w:rsid w:val="003A2951"/>
    <w:rsid w:val="003A2B59"/>
    <w:rsid w:val="003A47D1"/>
    <w:rsid w:val="003D5CAA"/>
    <w:rsid w:val="003D7393"/>
    <w:rsid w:val="003E3ABE"/>
    <w:rsid w:val="003E7299"/>
    <w:rsid w:val="003E7AE6"/>
    <w:rsid w:val="003F3094"/>
    <w:rsid w:val="003F408B"/>
    <w:rsid w:val="003F7AAE"/>
    <w:rsid w:val="00400900"/>
    <w:rsid w:val="00401D13"/>
    <w:rsid w:val="00402347"/>
    <w:rsid w:val="00410E51"/>
    <w:rsid w:val="00413106"/>
    <w:rsid w:val="00414B1A"/>
    <w:rsid w:val="004227DF"/>
    <w:rsid w:val="00423D03"/>
    <w:rsid w:val="00427FE4"/>
    <w:rsid w:val="004300CE"/>
    <w:rsid w:val="00436832"/>
    <w:rsid w:val="00436AEB"/>
    <w:rsid w:val="004408CD"/>
    <w:rsid w:val="004417BF"/>
    <w:rsid w:val="00442329"/>
    <w:rsid w:val="004446A9"/>
    <w:rsid w:val="00452898"/>
    <w:rsid w:val="004552B7"/>
    <w:rsid w:val="00455D63"/>
    <w:rsid w:val="00464BC7"/>
    <w:rsid w:val="0046686B"/>
    <w:rsid w:val="004816C0"/>
    <w:rsid w:val="004832F3"/>
    <w:rsid w:val="00485F62"/>
    <w:rsid w:val="004906C2"/>
    <w:rsid w:val="004925C2"/>
    <w:rsid w:val="00495933"/>
    <w:rsid w:val="004A0C26"/>
    <w:rsid w:val="004B2296"/>
    <w:rsid w:val="004B2904"/>
    <w:rsid w:val="004B2F67"/>
    <w:rsid w:val="004C1B6C"/>
    <w:rsid w:val="004C2E8D"/>
    <w:rsid w:val="004C3FAA"/>
    <w:rsid w:val="004C65FF"/>
    <w:rsid w:val="004C663A"/>
    <w:rsid w:val="004D36E6"/>
    <w:rsid w:val="004D5FAE"/>
    <w:rsid w:val="004D62C3"/>
    <w:rsid w:val="004D7609"/>
    <w:rsid w:val="004E1D2F"/>
    <w:rsid w:val="004E2F63"/>
    <w:rsid w:val="004E5A9B"/>
    <w:rsid w:val="004E7205"/>
    <w:rsid w:val="004F1B1D"/>
    <w:rsid w:val="004F3894"/>
    <w:rsid w:val="005016C5"/>
    <w:rsid w:val="005037D9"/>
    <w:rsid w:val="00511EF4"/>
    <w:rsid w:val="00516856"/>
    <w:rsid w:val="00516CF4"/>
    <w:rsid w:val="005205A6"/>
    <w:rsid w:val="00520C65"/>
    <w:rsid w:val="00521AA0"/>
    <w:rsid w:val="0052361E"/>
    <w:rsid w:val="005250CD"/>
    <w:rsid w:val="005266B5"/>
    <w:rsid w:val="0053118A"/>
    <w:rsid w:val="00533EF6"/>
    <w:rsid w:val="0054027E"/>
    <w:rsid w:val="005528AD"/>
    <w:rsid w:val="00554561"/>
    <w:rsid w:val="005637ED"/>
    <w:rsid w:val="00567257"/>
    <w:rsid w:val="0057769B"/>
    <w:rsid w:val="00577AA1"/>
    <w:rsid w:val="0058268D"/>
    <w:rsid w:val="00584135"/>
    <w:rsid w:val="00584A5C"/>
    <w:rsid w:val="00595635"/>
    <w:rsid w:val="00597DCB"/>
    <w:rsid w:val="005A2281"/>
    <w:rsid w:val="005A36DE"/>
    <w:rsid w:val="005A44FA"/>
    <w:rsid w:val="005B2EA8"/>
    <w:rsid w:val="005B479B"/>
    <w:rsid w:val="005C0228"/>
    <w:rsid w:val="005C35A0"/>
    <w:rsid w:val="005C5EE6"/>
    <w:rsid w:val="005C5F58"/>
    <w:rsid w:val="005C6C11"/>
    <w:rsid w:val="005D0F5D"/>
    <w:rsid w:val="005D246D"/>
    <w:rsid w:val="005D73CD"/>
    <w:rsid w:val="005D7B38"/>
    <w:rsid w:val="005F61F4"/>
    <w:rsid w:val="005F702E"/>
    <w:rsid w:val="00600D58"/>
    <w:rsid w:val="00604D15"/>
    <w:rsid w:val="006068BE"/>
    <w:rsid w:val="0061073E"/>
    <w:rsid w:val="006149C7"/>
    <w:rsid w:val="00620725"/>
    <w:rsid w:val="00622071"/>
    <w:rsid w:val="0062303B"/>
    <w:rsid w:val="00627532"/>
    <w:rsid w:val="006301D3"/>
    <w:rsid w:val="006311DC"/>
    <w:rsid w:val="00631475"/>
    <w:rsid w:val="00631EC5"/>
    <w:rsid w:val="00645798"/>
    <w:rsid w:val="00651B85"/>
    <w:rsid w:val="0065224B"/>
    <w:rsid w:val="0065415C"/>
    <w:rsid w:val="00656E9A"/>
    <w:rsid w:val="00666786"/>
    <w:rsid w:val="00687A86"/>
    <w:rsid w:val="006912C5"/>
    <w:rsid w:val="00692463"/>
    <w:rsid w:val="00692FEA"/>
    <w:rsid w:val="00696240"/>
    <w:rsid w:val="00697292"/>
    <w:rsid w:val="006A6688"/>
    <w:rsid w:val="006A66AA"/>
    <w:rsid w:val="006B5F15"/>
    <w:rsid w:val="006B7DE7"/>
    <w:rsid w:val="006C0230"/>
    <w:rsid w:val="006C0AB6"/>
    <w:rsid w:val="006C76F6"/>
    <w:rsid w:val="006D1C95"/>
    <w:rsid w:val="006D4508"/>
    <w:rsid w:val="006D6844"/>
    <w:rsid w:val="006D7460"/>
    <w:rsid w:val="006E1032"/>
    <w:rsid w:val="006E6C04"/>
    <w:rsid w:val="006E7A35"/>
    <w:rsid w:val="006F02E8"/>
    <w:rsid w:val="006F1373"/>
    <w:rsid w:val="006F6541"/>
    <w:rsid w:val="006F67CE"/>
    <w:rsid w:val="006F6A01"/>
    <w:rsid w:val="006F77A9"/>
    <w:rsid w:val="007000C9"/>
    <w:rsid w:val="007005AA"/>
    <w:rsid w:val="0070789D"/>
    <w:rsid w:val="00710E30"/>
    <w:rsid w:val="0071614B"/>
    <w:rsid w:val="007213A4"/>
    <w:rsid w:val="00723861"/>
    <w:rsid w:val="0072565F"/>
    <w:rsid w:val="00736452"/>
    <w:rsid w:val="007442CA"/>
    <w:rsid w:val="00753953"/>
    <w:rsid w:val="00755B4E"/>
    <w:rsid w:val="00756914"/>
    <w:rsid w:val="0076009D"/>
    <w:rsid w:val="0077491A"/>
    <w:rsid w:val="00774DFF"/>
    <w:rsid w:val="00781D5B"/>
    <w:rsid w:val="007838A7"/>
    <w:rsid w:val="00790D27"/>
    <w:rsid w:val="00791D86"/>
    <w:rsid w:val="00793A76"/>
    <w:rsid w:val="00796E56"/>
    <w:rsid w:val="007A23CC"/>
    <w:rsid w:val="007A5186"/>
    <w:rsid w:val="007A523F"/>
    <w:rsid w:val="007B1080"/>
    <w:rsid w:val="007B27F3"/>
    <w:rsid w:val="007B7E3B"/>
    <w:rsid w:val="007C1100"/>
    <w:rsid w:val="007C1E5B"/>
    <w:rsid w:val="007C53CB"/>
    <w:rsid w:val="007C62C7"/>
    <w:rsid w:val="007C6BAE"/>
    <w:rsid w:val="007D1086"/>
    <w:rsid w:val="007D36A2"/>
    <w:rsid w:val="007D4A89"/>
    <w:rsid w:val="007D6708"/>
    <w:rsid w:val="007E0A3E"/>
    <w:rsid w:val="007E636E"/>
    <w:rsid w:val="007F01E9"/>
    <w:rsid w:val="007F0A81"/>
    <w:rsid w:val="0080030C"/>
    <w:rsid w:val="0080079E"/>
    <w:rsid w:val="008031F5"/>
    <w:rsid w:val="00805912"/>
    <w:rsid w:val="00806328"/>
    <w:rsid w:val="0081157F"/>
    <w:rsid w:val="00813CE0"/>
    <w:rsid w:val="00814989"/>
    <w:rsid w:val="00814FB0"/>
    <w:rsid w:val="008177F0"/>
    <w:rsid w:val="00823A39"/>
    <w:rsid w:val="00825027"/>
    <w:rsid w:val="00825645"/>
    <w:rsid w:val="0082757E"/>
    <w:rsid w:val="00832179"/>
    <w:rsid w:val="00850CC0"/>
    <w:rsid w:val="00853A3F"/>
    <w:rsid w:val="0085522C"/>
    <w:rsid w:val="0086107E"/>
    <w:rsid w:val="008613E8"/>
    <w:rsid w:val="0086198A"/>
    <w:rsid w:val="0086418F"/>
    <w:rsid w:val="00864C94"/>
    <w:rsid w:val="00864D76"/>
    <w:rsid w:val="008715F8"/>
    <w:rsid w:val="0087679B"/>
    <w:rsid w:val="00882CE1"/>
    <w:rsid w:val="00882D5E"/>
    <w:rsid w:val="00883456"/>
    <w:rsid w:val="0088444B"/>
    <w:rsid w:val="00884EDF"/>
    <w:rsid w:val="00885433"/>
    <w:rsid w:val="00886807"/>
    <w:rsid w:val="008915AB"/>
    <w:rsid w:val="00895EFC"/>
    <w:rsid w:val="008A3491"/>
    <w:rsid w:val="008A658E"/>
    <w:rsid w:val="008A7A61"/>
    <w:rsid w:val="008B1DF2"/>
    <w:rsid w:val="008B2CAB"/>
    <w:rsid w:val="008B3A0C"/>
    <w:rsid w:val="008B430C"/>
    <w:rsid w:val="008B4719"/>
    <w:rsid w:val="008B7D3E"/>
    <w:rsid w:val="008C2B93"/>
    <w:rsid w:val="008D3A9B"/>
    <w:rsid w:val="008D618B"/>
    <w:rsid w:val="008D6973"/>
    <w:rsid w:val="008E1983"/>
    <w:rsid w:val="008E27E0"/>
    <w:rsid w:val="008E6D7A"/>
    <w:rsid w:val="008F24F1"/>
    <w:rsid w:val="008F27C3"/>
    <w:rsid w:val="008F4084"/>
    <w:rsid w:val="008F444C"/>
    <w:rsid w:val="00906929"/>
    <w:rsid w:val="0091033B"/>
    <w:rsid w:val="00913FBC"/>
    <w:rsid w:val="00925BA1"/>
    <w:rsid w:val="00932F24"/>
    <w:rsid w:val="00941512"/>
    <w:rsid w:val="00942379"/>
    <w:rsid w:val="0096297D"/>
    <w:rsid w:val="00963BCA"/>
    <w:rsid w:val="00970270"/>
    <w:rsid w:val="009714E2"/>
    <w:rsid w:val="009770B9"/>
    <w:rsid w:val="00982EB0"/>
    <w:rsid w:val="00983EBE"/>
    <w:rsid w:val="00990000"/>
    <w:rsid w:val="009A05BE"/>
    <w:rsid w:val="009A34CF"/>
    <w:rsid w:val="009B13BB"/>
    <w:rsid w:val="009B352E"/>
    <w:rsid w:val="009B4262"/>
    <w:rsid w:val="009C190F"/>
    <w:rsid w:val="009D086A"/>
    <w:rsid w:val="009D14F6"/>
    <w:rsid w:val="009D5756"/>
    <w:rsid w:val="009E459A"/>
    <w:rsid w:val="009F0888"/>
    <w:rsid w:val="009F2501"/>
    <w:rsid w:val="009F46B6"/>
    <w:rsid w:val="009F6B16"/>
    <w:rsid w:val="00A06ADD"/>
    <w:rsid w:val="00A138CE"/>
    <w:rsid w:val="00A16138"/>
    <w:rsid w:val="00A31E84"/>
    <w:rsid w:val="00A32B52"/>
    <w:rsid w:val="00A33076"/>
    <w:rsid w:val="00A33E9A"/>
    <w:rsid w:val="00A34726"/>
    <w:rsid w:val="00A478DF"/>
    <w:rsid w:val="00A50312"/>
    <w:rsid w:val="00A551C6"/>
    <w:rsid w:val="00A63CD5"/>
    <w:rsid w:val="00A710B4"/>
    <w:rsid w:val="00A76830"/>
    <w:rsid w:val="00A76FE7"/>
    <w:rsid w:val="00A81E8A"/>
    <w:rsid w:val="00A82A12"/>
    <w:rsid w:val="00A84129"/>
    <w:rsid w:val="00AA10B3"/>
    <w:rsid w:val="00AA2663"/>
    <w:rsid w:val="00AA377D"/>
    <w:rsid w:val="00AA4F20"/>
    <w:rsid w:val="00AA572A"/>
    <w:rsid w:val="00AB5047"/>
    <w:rsid w:val="00AB7381"/>
    <w:rsid w:val="00AC1A31"/>
    <w:rsid w:val="00AC257A"/>
    <w:rsid w:val="00AD200D"/>
    <w:rsid w:val="00AD425E"/>
    <w:rsid w:val="00AE11DA"/>
    <w:rsid w:val="00AE120A"/>
    <w:rsid w:val="00AE31CD"/>
    <w:rsid w:val="00AE6A92"/>
    <w:rsid w:val="00B004A8"/>
    <w:rsid w:val="00B128FC"/>
    <w:rsid w:val="00B13705"/>
    <w:rsid w:val="00B145BD"/>
    <w:rsid w:val="00B15F66"/>
    <w:rsid w:val="00B21D50"/>
    <w:rsid w:val="00B33AC5"/>
    <w:rsid w:val="00B370A1"/>
    <w:rsid w:val="00B452D2"/>
    <w:rsid w:val="00B45D3B"/>
    <w:rsid w:val="00B566C2"/>
    <w:rsid w:val="00B73BB5"/>
    <w:rsid w:val="00B766FE"/>
    <w:rsid w:val="00B8011C"/>
    <w:rsid w:val="00B81215"/>
    <w:rsid w:val="00B93B19"/>
    <w:rsid w:val="00BA0BF6"/>
    <w:rsid w:val="00BA277A"/>
    <w:rsid w:val="00BA7557"/>
    <w:rsid w:val="00BB18EB"/>
    <w:rsid w:val="00BB1C85"/>
    <w:rsid w:val="00BB3694"/>
    <w:rsid w:val="00BC0E6E"/>
    <w:rsid w:val="00BC69EF"/>
    <w:rsid w:val="00BD26AC"/>
    <w:rsid w:val="00BD6F9B"/>
    <w:rsid w:val="00BE0236"/>
    <w:rsid w:val="00BE6574"/>
    <w:rsid w:val="00BE6A9A"/>
    <w:rsid w:val="00BE6AF8"/>
    <w:rsid w:val="00BF083E"/>
    <w:rsid w:val="00BF19C8"/>
    <w:rsid w:val="00BF514B"/>
    <w:rsid w:val="00BF67E1"/>
    <w:rsid w:val="00BF7970"/>
    <w:rsid w:val="00C02765"/>
    <w:rsid w:val="00C073CD"/>
    <w:rsid w:val="00C07E93"/>
    <w:rsid w:val="00C1260A"/>
    <w:rsid w:val="00C1470D"/>
    <w:rsid w:val="00C14E6A"/>
    <w:rsid w:val="00C21228"/>
    <w:rsid w:val="00C245EF"/>
    <w:rsid w:val="00C27098"/>
    <w:rsid w:val="00C36E3E"/>
    <w:rsid w:val="00C41748"/>
    <w:rsid w:val="00C42DA3"/>
    <w:rsid w:val="00C43454"/>
    <w:rsid w:val="00C51405"/>
    <w:rsid w:val="00C51C50"/>
    <w:rsid w:val="00C60040"/>
    <w:rsid w:val="00C60295"/>
    <w:rsid w:val="00C603A7"/>
    <w:rsid w:val="00C61DE5"/>
    <w:rsid w:val="00C66692"/>
    <w:rsid w:val="00C6759D"/>
    <w:rsid w:val="00C74254"/>
    <w:rsid w:val="00C76019"/>
    <w:rsid w:val="00C770E4"/>
    <w:rsid w:val="00C909DC"/>
    <w:rsid w:val="00CA69C0"/>
    <w:rsid w:val="00CC282A"/>
    <w:rsid w:val="00CC7500"/>
    <w:rsid w:val="00CD0CEA"/>
    <w:rsid w:val="00CD13BC"/>
    <w:rsid w:val="00CD49E2"/>
    <w:rsid w:val="00CD6AB8"/>
    <w:rsid w:val="00CE1962"/>
    <w:rsid w:val="00CE2453"/>
    <w:rsid w:val="00CF4E83"/>
    <w:rsid w:val="00D02FDF"/>
    <w:rsid w:val="00D12B5A"/>
    <w:rsid w:val="00D153FA"/>
    <w:rsid w:val="00D217CE"/>
    <w:rsid w:val="00D22D09"/>
    <w:rsid w:val="00D2379A"/>
    <w:rsid w:val="00D30B7D"/>
    <w:rsid w:val="00D3465A"/>
    <w:rsid w:val="00D348E1"/>
    <w:rsid w:val="00D4054B"/>
    <w:rsid w:val="00D477AE"/>
    <w:rsid w:val="00D56F0C"/>
    <w:rsid w:val="00D65FEA"/>
    <w:rsid w:val="00D7077B"/>
    <w:rsid w:val="00D716FC"/>
    <w:rsid w:val="00D76E29"/>
    <w:rsid w:val="00D76ED6"/>
    <w:rsid w:val="00D81C45"/>
    <w:rsid w:val="00D83403"/>
    <w:rsid w:val="00D86699"/>
    <w:rsid w:val="00D87F45"/>
    <w:rsid w:val="00D92C59"/>
    <w:rsid w:val="00D95A8C"/>
    <w:rsid w:val="00DB0C80"/>
    <w:rsid w:val="00DB33BC"/>
    <w:rsid w:val="00DB3D9F"/>
    <w:rsid w:val="00DB7840"/>
    <w:rsid w:val="00DB7F84"/>
    <w:rsid w:val="00DC210C"/>
    <w:rsid w:val="00DC37CB"/>
    <w:rsid w:val="00DC76EA"/>
    <w:rsid w:val="00DD1BFE"/>
    <w:rsid w:val="00DE2E7A"/>
    <w:rsid w:val="00DE7E65"/>
    <w:rsid w:val="00DF2BF9"/>
    <w:rsid w:val="00E016F8"/>
    <w:rsid w:val="00E04DDF"/>
    <w:rsid w:val="00E14F01"/>
    <w:rsid w:val="00E16931"/>
    <w:rsid w:val="00E200F8"/>
    <w:rsid w:val="00E21E5D"/>
    <w:rsid w:val="00E23F7C"/>
    <w:rsid w:val="00E27D8B"/>
    <w:rsid w:val="00E32A3E"/>
    <w:rsid w:val="00E339CE"/>
    <w:rsid w:val="00E352BA"/>
    <w:rsid w:val="00E4238D"/>
    <w:rsid w:val="00E5117F"/>
    <w:rsid w:val="00E52D91"/>
    <w:rsid w:val="00E53BD6"/>
    <w:rsid w:val="00E60D33"/>
    <w:rsid w:val="00E677B3"/>
    <w:rsid w:val="00E804F5"/>
    <w:rsid w:val="00E847DD"/>
    <w:rsid w:val="00E8639A"/>
    <w:rsid w:val="00E86AA9"/>
    <w:rsid w:val="00E87025"/>
    <w:rsid w:val="00E90A7B"/>
    <w:rsid w:val="00E91D10"/>
    <w:rsid w:val="00E931CA"/>
    <w:rsid w:val="00E9681F"/>
    <w:rsid w:val="00EA6DCB"/>
    <w:rsid w:val="00EB031C"/>
    <w:rsid w:val="00EB1FAF"/>
    <w:rsid w:val="00EB4399"/>
    <w:rsid w:val="00EB4565"/>
    <w:rsid w:val="00EB5DCF"/>
    <w:rsid w:val="00EC13D3"/>
    <w:rsid w:val="00EC32FA"/>
    <w:rsid w:val="00EC331E"/>
    <w:rsid w:val="00EC37DB"/>
    <w:rsid w:val="00EC6859"/>
    <w:rsid w:val="00ED1248"/>
    <w:rsid w:val="00ED495C"/>
    <w:rsid w:val="00EE054D"/>
    <w:rsid w:val="00EE05A0"/>
    <w:rsid w:val="00EE19D4"/>
    <w:rsid w:val="00EE34E3"/>
    <w:rsid w:val="00EE3647"/>
    <w:rsid w:val="00EE5C68"/>
    <w:rsid w:val="00EE659B"/>
    <w:rsid w:val="00EF01AC"/>
    <w:rsid w:val="00EF28CD"/>
    <w:rsid w:val="00F042F6"/>
    <w:rsid w:val="00F054C3"/>
    <w:rsid w:val="00F06E65"/>
    <w:rsid w:val="00F10A05"/>
    <w:rsid w:val="00F20727"/>
    <w:rsid w:val="00F21042"/>
    <w:rsid w:val="00F241D7"/>
    <w:rsid w:val="00F33D50"/>
    <w:rsid w:val="00F34C3E"/>
    <w:rsid w:val="00F36460"/>
    <w:rsid w:val="00F4209B"/>
    <w:rsid w:val="00F4366B"/>
    <w:rsid w:val="00F45F2E"/>
    <w:rsid w:val="00F54055"/>
    <w:rsid w:val="00F55402"/>
    <w:rsid w:val="00F55B20"/>
    <w:rsid w:val="00F61D68"/>
    <w:rsid w:val="00F652F4"/>
    <w:rsid w:val="00F70493"/>
    <w:rsid w:val="00F85DC1"/>
    <w:rsid w:val="00F8773C"/>
    <w:rsid w:val="00F93669"/>
    <w:rsid w:val="00FA646C"/>
    <w:rsid w:val="00FB62CF"/>
    <w:rsid w:val="00FC2676"/>
    <w:rsid w:val="00FC2CED"/>
    <w:rsid w:val="00FC5EDF"/>
    <w:rsid w:val="00FD0F77"/>
    <w:rsid w:val="00FD2495"/>
    <w:rsid w:val="00FD3315"/>
    <w:rsid w:val="00FD347C"/>
    <w:rsid w:val="00FD53D4"/>
    <w:rsid w:val="00FE3648"/>
    <w:rsid w:val="00FE674B"/>
    <w:rsid w:val="00FF2DF2"/>
    <w:rsid w:val="013774D0"/>
    <w:rsid w:val="0145CDE4"/>
    <w:rsid w:val="02666A10"/>
    <w:rsid w:val="0466478F"/>
    <w:rsid w:val="05168E1B"/>
    <w:rsid w:val="068B1662"/>
    <w:rsid w:val="07A1B893"/>
    <w:rsid w:val="07AD2F4A"/>
    <w:rsid w:val="07BEE929"/>
    <w:rsid w:val="08D87DFB"/>
    <w:rsid w:val="0A0EB0DC"/>
    <w:rsid w:val="0B00628A"/>
    <w:rsid w:val="0C04ACC4"/>
    <w:rsid w:val="0C62E79F"/>
    <w:rsid w:val="0CED9ADB"/>
    <w:rsid w:val="0D30E41B"/>
    <w:rsid w:val="0E1EE315"/>
    <w:rsid w:val="0FA80277"/>
    <w:rsid w:val="1038E791"/>
    <w:rsid w:val="105CC56C"/>
    <w:rsid w:val="10E1BA21"/>
    <w:rsid w:val="12357D39"/>
    <w:rsid w:val="1465DA28"/>
    <w:rsid w:val="14D9892B"/>
    <w:rsid w:val="16AC19EC"/>
    <w:rsid w:val="17BA9E5B"/>
    <w:rsid w:val="18067E8F"/>
    <w:rsid w:val="184BD77A"/>
    <w:rsid w:val="195D35C6"/>
    <w:rsid w:val="1D43FCA4"/>
    <w:rsid w:val="1D53732E"/>
    <w:rsid w:val="1DE19AE0"/>
    <w:rsid w:val="200B83C4"/>
    <w:rsid w:val="20458589"/>
    <w:rsid w:val="20DB32C1"/>
    <w:rsid w:val="223E6D41"/>
    <w:rsid w:val="2324DB9D"/>
    <w:rsid w:val="286E830D"/>
    <w:rsid w:val="29F16882"/>
    <w:rsid w:val="2A201C11"/>
    <w:rsid w:val="2A9A3139"/>
    <w:rsid w:val="2B42DC9A"/>
    <w:rsid w:val="2BEFCBA1"/>
    <w:rsid w:val="2C3666F7"/>
    <w:rsid w:val="2DAE03E7"/>
    <w:rsid w:val="2DDB26C2"/>
    <w:rsid w:val="2E6AB464"/>
    <w:rsid w:val="2EF8E7D0"/>
    <w:rsid w:val="2FC7D735"/>
    <w:rsid w:val="3163A796"/>
    <w:rsid w:val="32A85529"/>
    <w:rsid w:val="34887263"/>
    <w:rsid w:val="36A1C99A"/>
    <w:rsid w:val="37B7F02F"/>
    <w:rsid w:val="3955911E"/>
    <w:rsid w:val="3A5DB46D"/>
    <w:rsid w:val="3A69A546"/>
    <w:rsid w:val="3AAEC16C"/>
    <w:rsid w:val="3EC032F3"/>
    <w:rsid w:val="3EE446D0"/>
    <w:rsid w:val="3FE9A630"/>
    <w:rsid w:val="40A58935"/>
    <w:rsid w:val="425FDCAD"/>
    <w:rsid w:val="42D9284C"/>
    <w:rsid w:val="439094AB"/>
    <w:rsid w:val="439DB426"/>
    <w:rsid w:val="43A7A657"/>
    <w:rsid w:val="4544DD33"/>
    <w:rsid w:val="467C4501"/>
    <w:rsid w:val="46C97E70"/>
    <w:rsid w:val="475D1C30"/>
    <w:rsid w:val="49671B58"/>
    <w:rsid w:val="49A5816C"/>
    <w:rsid w:val="4AA853E2"/>
    <w:rsid w:val="4B02EBB9"/>
    <w:rsid w:val="4D32E604"/>
    <w:rsid w:val="4DE0F1A5"/>
    <w:rsid w:val="4FF44F77"/>
    <w:rsid w:val="52BFC6C7"/>
    <w:rsid w:val="52E16ED8"/>
    <w:rsid w:val="540E47A7"/>
    <w:rsid w:val="547F11F1"/>
    <w:rsid w:val="54F55513"/>
    <w:rsid w:val="552CCC1C"/>
    <w:rsid w:val="5749A614"/>
    <w:rsid w:val="5812C965"/>
    <w:rsid w:val="5A1411B9"/>
    <w:rsid w:val="5A7D892B"/>
    <w:rsid w:val="5B4A6A27"/>
    <w:rsid w:val="5DE8A7A1"/>
    <w:rsid w:val="5F145408"/>
    <w:rsid w:val="63F79F3C"/>
    <w:rsid w:val="649EB08B"/>
    <w:rsid w:val="67ED48C9"/>
    <w:rsid w:val="68917611"/>
    <w:rsid w:val="69F487A8"/>
    <w:rsid w:val="6A4704A6"/>
    <w:rsid w:val="6CE9062E"/>
    <w:rsid w:val="75E9874D"/>
    <w:rsid w:val="77B8EC59"/>
    <w:rsid w:val="78909292"/>
    <w:rsid w:val="794003E5"/>
    <w:rsid w:val="79486039"/>
    <w:rsid w:val="7A452525"/>
    <w:rsid w:val="7A9C5393"/>
    <w:rsid w:val="7C770B3D"/>
    <w:rsid w:val="7DAA8737"/>
    <w:rsid w:val="7DB70E4D"/>
    <w:rsid w:val="7DD3F455"/>
    <w:rsid w:val="7F21DBC0"/>
    <w:rsid w:val="7F499ACD"/>
    <w:rsid w:val="7F6F5D4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6E7C"/>
  <w15:chartTrackingRefBased/>
  <w15:docId w15:val="{FEAEDDE1-215A-4485-8B4F-D565E8DD4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3694"/>
    <w:pPr>
      <w:keepNext/>
      <w:keepLines/>
      <w:spacing w:before="240" w:after="0"/>
      <w:jc w:val="center"/>
      <w:outlineLvl w:val="0"/>
    </w:pPr>
    <w:rPr>
      <w:rFonts w:ascii="Museo Slab 500" w:eastAsiaTheme="majorEastAsia" w:hAnsi="Museo Slab 500" w:cstheme="majorBidi"/>
      <w:color w:val="D60028"/>
      <w:sz w:val="36"/>
    </w:rPr>
  </w:style>
  <w:style w:type="paragraph" w:styleId="Heading2">
    <w:name w:val="heading 2"/>
    <w:basedOn w:val="Normal"/>
    <w:next w:val="Normal"/>
    <w:link w:val="Heading2Char"/>
    <w:uiPriority w:val="9"/>
    <w:semiHidden/>
    <w:unhideWhenUsed/>
    <w:qFormat/>
    <w:rsid w:val="006D4508"/>
    <w:pPr>
      <w:keepNext/>
      <w:keepLines/>
      <w:spacing w:before="40" w:after="0"/>
      <w:outlineLvl w:val="1"/>
    </w:pPr>
    <w:rPr>
      <w:rFonts w:asciiTheme="majorHAnsi" w:eastAsiaTheme="majorEastAsia" w:hAnsiTheme="majorHAnsi" w:cstheme="majorBidi"/>
      <w:color w:val="2E74B5"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677B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77B3"/>
  </w:style>
  <w:style w:type="paragraph" w:styleId="Footer">
    <w:name w:val="footer"/>
    <w:basedOn w:val="Normal"/>
    <w:link w:val="FooterChar"/>
    <w:uiPriority w:val="99"/>
    <w:semiHidden/>
    <w:unhideWhenUsed/>
    <w:rsid w:val="00E677B3"/>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E677B3"/>
  </w:style>
  <w:style w:type="table" w:styleId="TableGrid">
    <w:name w:val="Table Grid"/>
    <w:basedOn w:val="TableNormal"/>
    <w:uiPriority w:val="39"/>
    <w:rsid w:val="00E677B3"/>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B3694"/>
    <w:rPr>
      <w:rFonts w:ascii="Museo Slab 500" w:eastAsiaTheme="majorEastAsia" w:hAnsi="Museo Slab 500" w:cstheme="majorBidi"/>
      <w:color w:val="D60028"/>
      <w:sz w:val="36"/>
    </w:rPr>
  </w:style>
  <w:style w:type="paragraph" w:styleId="NoSpacing">
    <w:name w:val="No Spacing"/>
    <w:uiPriority w:val="1"/>
    <w:qFormat/>
    <w:rsid w:val="004C65FF"/>
    <w:pPr>
      <w:spacing w:after="0" w:line="240" w:lineRule="auto"/>
    </w:pPr>
    <w:rPr>
      <w:rFonts w:eastAsiaTheme="minorHAnsi"/>
    </w:rPr>
  </w:style>
  <w:style w:type="character" w:styleId="Hyperlink">
    <w:name w:val="Hyperlink"/>
    <w:basedOn w:val="DefaultParagraphFont"/>
    <w:uiPriority w:val="99"/>
    <w:unhideWhenUsed/>
    <w:rsid w:val="00D217CE"/>
    <w:rPr>
      <w:color w:val="0563C1" w:themeColor="hyperlink"/>
      <w:u w:val="single"/>
    </w:rPr>
  </w:style>
  <w:style w:type="paragraph" w:styleId="BalloonText">
    <w:name w:val="Balloon Text"/>
    <w:basedOn w:val="Normal"/>
    <w:link w:val="BalloonTextChar"/>
    <w:uiPriority w:val="99"/>
    <w:semiHidden/>
    <w:unhideWhenUsed/>
    <w:rsid w:val="004C3FAA"/>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4C3FAA"/>
    <w:rPr>
      <w:rFonts w:ascii="Segoe UI" w:hAnsi="Segoe UI" w:cs="Segoe UI"/>
      <w:sz w:val="18"/>
    </w:rPr>
  </w:style>
  <w:style w:type="paragraph" w:styleId="ListParagraph">
    <w:name w:val="List Paragraph"/>
    <w:basedOn w:val="Normal"/>
    <w:uiPriority w:val="34"/>
    <w:qFormat/>
    <w:rsid w:val="006E7A35"/>
    <w:pPr>
      <w:ind w:left="720"/>
      <w:contextualSpacing/>
    </w:pPr>
  </w:style>
  <w:style w:type="character" w:styleId="CommentReference">
    <w:name w:val="annotation reference"/>
    <w:basedOn w:val="DefaultParagraphFont"/>
    <w:uiPriority w:val="99"/>
    <w:semiHidden/>
    <w:unhideWhenUsed/>
    <w:rsid w:val="00A84129"/>
    <w:rPr>
      <w:sz w:val="16"/>
    </w:rPr>
  </w:style>
  <w:style w:type="paragraph" w:styleId="CommentText">
    <w:name w:val="annotation text"/>
    <w:basedOn w:val="Normal"/>
    <w:link w:val="CommentTextChar"/>
    <w:uiPriority w:val="99"/>
    <w:unhideWhenUsed/>
    <w:rsid w:val="00A84129"/>
    <w:pPr>
      <w:spacing w:line="240" w:lineRule="auto"/>
    </w:pPr>
    <w:rPr>
      <w:sz w:val="20"/>
    </w:rPr>
  </w:style>
  <w:style w:type="character" w:customStyle="1" w:styleId="CommentTextChar">
    <w:name w:val="Comment Text Char"/>
    <w:basedOn w:val="DefaultParagraphFont"/>
    <w:link w:val="CommentText"/>
    <w:uiPriority w:val="99"/>
    <w:rsid w:val="00A84129"/>
    <w:rPr>
      <w:sz w:val="20"/>
    </w:rPr>
  </w:style>
  <w:style w:type="paragraph" w:styleId="CommentSubject">
    <w:name w:val="annotation subject"/>
    <w:basedOn w:val="CommentText"/>
    <w:next w:val="CommentText"/>
    <w:link w:val="CommentSubjectChar"/>
    <w:uiPriority w:val="99"/>
    <w:semiHidden/>
    <w:unhideWhenUsed/>
    <w:rsid w:val="00A84129"/>
    <w:rPr>
      <w:b/>
    </w:rPr>
  </w:style>
  <w:style w:type="character" w:customStyle="1" w:styleId="CommentSubjectChar">
    <w:name w:val="Comment Subject Char"/>
    <w:basedOn w:val="CommentTextChar"/>
    <w:link w:val="CommentSubject"/>
    <w:uiPriority w:val="99"/>
    <w:semiHidden/>
    <w:rsid w:val="00A84129"/>
    <w:rPr>
      <w:b/>
      <w:sz w:val="20"/>
    </w:rPr>
  </w:style>
  <w:style w:type="paragraph" w:styleId="EndnoteText">
    <w:name w:val="endnote text"/>
    <w:basedOn w:val="Normal"/>
    <w:link w:val="EndnoteTextChar"/>
    <w:uiPriority w:val="99"/>
    <w:semiHidden/>
    <w:unhideWhenUsed/>
    <w:rsid w:val="009F0888"/>
    <w:pPr>
      <w:spacing w:after="0" w:line="240" w:lineRule="auto"/>
    </w:pPr>
    <w:rPr>
      <w:sz w:val="20"/>
    </w:rPr>
  </w:style>
  <w:style w:type="character" w:customStyle="1" w:styleId="EndnoteTextChar">
    <w:name w:val="Endnote Text Char"/>
    <w:basedOn w:val="DefaultParagraphFont"/>
    <w:link w:val="EndnoteText"/>
    <w:uiPriority w:val="99"/>
    <w:semiHidden/>
    <w:rsid w:val="009F0888"/>
    <w:rPr>
      <w:sz w:val="20"/>
    </w:rPr>
  </w:style>
  <w:style w:type="character" w:styleId="EndnoteReference">
    <w:name w:val="endnote reference"/>
    <w:basedOn w:val="DefaultParagraphFont"/>
    <w:uiPriority w:val="99"/>
    <w:semiHidden/>
    <w:unhideWhenUsed/>
    <w:rsid w:val="009F0888"/>
    <w:rPr>
      <w:vertAlign w:val="superscript"/>
    </w:rPr>
  </w:style>
  <w:style w:type="paragraph" w:styleId="FootnoteText">
    <w:name w:val="footnote text"/>
    <w:basedOn w:val="Normal"/>
    <w:link w:val="FootnoteTextChar"/>
    <w:uiPriority w:val="99"/>
    <w:semiHidden/>
    <w:unhideWhenUsed/>
    <w:rsid w:val="009F0888"/>
    <w:pPr>
      <w:spacing w:after="0" w:line="240" w:lineRule="auto"/>
    </w:pPr>
    <w:rPr>
      <w:sz w:val="20"/>
    </w:rPr>
  </w:style>
  <w:style w:type="character" w:customStyle="1" w:styleId="FootnoteTextChar">
    <w:name w:val="Footnote Text Char"/>
    <w:basedOn w:val="DefaultParagraphFont"/>
    <w:link w:val="FootnoteText"/>
    <w:uiPriority w:val="99"/>
    <w:semiHidden/>
    <w:rsid w:val="009F0888"/>
    <w:rPr>
      <w:sz w:val="20"/>
    </w:rPr>
  </w:style>
  <w:style w:type="character" w:styleId="FootnoteReference">
    <w:name w:val="footnote reference"/>
    <w:basedOn w:val="DefaultParagraphFont"/>
    <w:uiPriority w:val="99"/>
    <w:semiHidden/>
    <w:unhideWhenUsed/>
    <w:rsid w:val="009F0888"/>
    <w:rPr>
      <w:vertAlign w:val="superscript"/>
    </w:rPr>
  </w:style>
  <w:style w:type="character" w:customStyle="1" w:styleId="Heading2Char">
    <w:name w:val="Heading 2 Char"/>
    <w:basedOn w:val="DefaultParagraphFont"/>
    <w:link w:val="Heading2"/>
    <w:uiPriority w:val="9"/>
    <w:semiHidden/>
    <w:rsid w:val="006D4508"/>
    <w:rPr>
      <w:rFonts w:asciiTheme="majorHAnsi" w:eastAsiaTheme="majorEastAsia" w:hAnsiTheme="majorHAnsi" w:cstheme="majorBidi"/>
      <w:color w:val="2E74B5" w:themeColor="accent1" w:themeShade="BF"/>
      <w:sz w:val="26"/>
    </w:rPr>
  </w:style>
  <w:style w:type="character" w:styleId="UnresolvedMention">
    <w:name w:val="Unresolved Mention"/>
    <w:basedOn w:val="DefaultParagraphFont"/>
    <w:uiPriority w:val="99"/>
    <w:semiHidden/>
    <w:unhideWhenUsed/>
    <w:rsid w:val="007B7E3B"/>
    <w:rPr>
      <w:color w:val="605E5C"/>
      <w:shd w:val="clear" w:color="auto" w:fill="E1DFDD"/>
    </w:rPr>
  </w:style>
  <w:style w:type="character" w:styleId="FollowedHyperlink">
    <w:name w:val="FollowedHyperlink"/>
    <w:basedOn w:val="DefaultParagraphFont"/>
    <w:uiPriority w:val="99"/>
    <w:semiHidden/>
    <w:unhideWhenUsed/>
    <w:rsid w:val="007B7E3B"/>
    <w:rPr>
      <w:color w:val="954F72" w:themeColor="followedHyperlink"/>
      <w:u w:val="single"/>
    </w:rPr>
  </w:style>
  <w:style w:type="character" w:customStyle="1" w:styleId="normaltextrun">
    <w:name w:val="normaltextrun"/>
    <w:basedOn w:val="DefaultParagraphFont"/>
    <w:rsid w:val="00254608"/>
  </w:style>
  <w:style w:type="character" w:customStyle="1" w:styleId="findhit">
    <w:name w:val="findhit"/>
    <w:basedOn w:val="DefaultParagraphFont"/>
    <w:rsid w:val="00254608"/>
  </w:style>
  <w:style w:type="character" w:customStyle="1" w:styleId="eop">
    <w:name w:val="eop"/>
    <w:basedOn w:val="DefaultParagraphFont"/>
    <w:rsid w:val="00254608"/>
  </w:style>
  <w:style w:type="paragraph" w:styleId="Revision">
    <w:name w:val="Revision"/>
    <w:hidden/>
    <w:uiPriority w:val="99"/>
    <w:semiHidden/>
    <w:rsid w:val="00753953"/>
    <w:pPr>
      <w:spacing w:after="0" w:line="240" w:lineRule="auto"/>
    </w:pPr>
  </w:style>
  <w:style w:type="paragraph" w:customStyle="1" w:styleId="P68B1DB1-Normal1">
    <w:name w:val="P68B1DB1-Normal1"/>
    <w:basedOn w:val="Normal"/>
    <w:rPr>
      <w:rFonts w:ascii="Carlito" w:eastAsia="Carlito" w:hAnsi="Carlito" w:cs="Carlito"/>
      <w:b/>
      <w:i/>
      <w:sz w:val="24"/>
    </w:rPr>
  </w:style>
  <w:style w:type="paragraph" w:customStyle="1" w:styleId="P68B1DB1-Normal2">
    <w:name w:val="P68B1DB1-Normal2"/>
    <w:basedOn w:val="Normal"/>
    <w:rPr>
      <w:b/>
    </w:rPr>
  </w:style>
  <w:style w:type="paragraph" w:customStyle="1" w:styleId="P68B1DB1-Normal3">
    <w:name w:val="P68B1DB1-Normal3"/>
    <w:basedOn w:val="Normal"/>
    <w:rPr>
      <w:u w:val="single"/>
    </w:rPr>
  </w:style>
  <w:style w:type="paragraph" w:customStyle="1" w:styleId="P68B1DB1-Normal4">
    <w:name w:val="P68B1DB1-Normal4"/>
    <w:basedOn w:val="Normal"/>
    <w:rPr>
      <w:rFonts w:eastAsiaTheme="minorHAnsi"/>
    </w:rPr>
  </w:style>
  <w:style w:type="paragraph" w:customStyle="1" w:styleId="P68B1DB1-ListParagraph5">
    <w:name w:val="P68B1DB1-ListParagraph5"/>
    <w:basedOn w:val="ListParagraph"/>
    <w:rPr>
      <w:rFonts w:eastAsiaTheme="minorHAnsi"/>
    </w:rPr>
  </w:style>
  <w:style w:type="paragraph" w:customStyle="1" w:styleId="P68B1DB1-Normal6">
    <w:name w:val="P68B1DB1-Normal6"/>
    <w:basedOn w:val="Normal"/>
    <w:rPr>
      <w:rFonts w:eastAsiaTheme="minorHAnsi"/>
      <w:b/>
    </w:rPr>
  </w:style>
  <w:style w:type="paragraph" w:customStyle="1" w:styleId="P68B1DB1-Normal7">
    <w:name w:val="P68B1DB1-Normal7"/>
    <w:basedOn w:val="Normal"/>
    <w:rPr>
      <w:rFonts w:eastAsiaTheme="minorHAnsi"/>
      <w:u w:val="single"/>
    </w:rPr>
  </w:style>
  <w:style w:type="paragraph" w:customStyle="1" w:styleId="P68B1DB1-ListParagraph8">
    <w:name w:val="P68B1DB1-ListParagraph8"/>
    <w:basedOn w:val="ListParagraph"/>
    <w:rPr>
      <w:rFonts w:ascii="Calibri" w:eastAsia="Calibri" w:hAnsi="Calibri" w:cs="Calibr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optb.org/sites/default/files/gdfdiagnosticsmedicaldevotherhealthproductscatalog_0.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316766a-56c0-4c7a-96fe-998da8001e7f">
      <UserInfo>
        <DisplayName>Zhi Zhen Qin</DisplayName>
        <AccountId>32</AccountId>
        <AccountType/>
      </UserInfo>
      <UserInfo>
        <DisplayName>Marina Smelyanskaya</DisplayName>
        <AccountId>35</AccountId>
        <AccountType/>
      </UserInfo>
      <UserInfo>
        <DisplayName>Amera Khan</DisplayName>
        <AccountId>34</AccountId>
        <AccountType/>
      </UserInfo>
      <UserInfo>
        <DisplayName>Jacob Creswell</DisplayName>
        <AccountId>31</AccountId>
        <AccountType/>
      </UserInfo>
      <UserInfo>
        <DisplayName>Pauline Vandewalle</DisplayName>
        <AccountId>161</AccountId>
        <AccountType/>
      </UserInfo>
    </SharedWithUsers>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E6EF72-8BC6-4B29-AE95-56D8385BC489}">
  <ds:schemaRefs>
    <ds:schemaRef ds:uri="http://schemas.openxmlformats.org/officeDocument/2006/bibliography"/>
  </ds:schemaRefs>
</ds:datastoreItem>
</file>

<file path=customXml/itemProps2.xml><?xml version="1.0" encoding="utf-8"?>
<ds:datastoreItem xmlns:ds="http://schemas.openxmlformats.org/officeDocument/2006/customXml" ds:itemID="{C49F8D7F-FF1D-4DCB-A5B6-68D626813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3C1D5A-C017-45B6-B94A-CE521D22F806}">
  <ds:schemaRefs>
    <ds:schemaRef ds:uri="http://schemas.microsoft.com/office/2006/metadata/properties"/>
    <ds:schemaRef ds:uri="http://schemas.microsoft.com/office/infopath/2007/PartnerControls"/>
    <ds:schemaRef ds:uri="8316766a-56c0-4c7a-96fe-998da8001e7f"/>
    <ds:schemaRef ds:uri="http://schemas.microsoft.com/sharepoint/v3"/>
    <ds:schemaRef ds:uri="4cf32ef5-77b5-4ac5-bc64-0a897a2173f7"/>
  </ds:schemaRefs>
</ds:datastoreItem>
</file>

<file path=customXml/itemProps4.xml><?xml version="1.0" encoding="utf-8"?>
<ds:datastoreItem xmlns:ds="http://schemas.openxmlformats.org/officeDocument/2006/customXml" ds:itemID="{D1D39DF5-FDEC-46EF-A9BC-3FCD3335ED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1940</Words>
  <Characters>11060</Characters>
  <Application>Microsoft Office Word</Application>
  <DocSecurity>0</DocSecurity>
  <Lines>92</Lines>
  <Paragraphs>25</Paragraphs>
  <ScaleCrop>false</ScaleCrop>
  <Company/>
  <LinksUpToDate>false</LinksUpToDate>
  <CharactersWithSpaces>12975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Toufiq Rahman</dc:creator>
  <cp:keywords/>
  <dc:description/>
  <cp:lastModifiedBy>Pauline Vandewalle</cp:lastModifiedBy>
  <cp:revision>3</cp:revision>
  <cp:lastPrinted>2019-02-14T08:30:00Z</cp:lastPrinted>
  <dcterms:created xsi:type="dcterms:W3CDTF">2023-11-14T15:14:00Z</dcterms:created>
  <dcterms:modified xsi:type="dcterms:W3CDTF">2023-11-14T15:22:00Z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AuthorIds_UIVersion_4608">
    <vt:lpwstr>32</vt:lpwstr>
  </property>
  <property fmtid="{D5CDD505-2E9C-101B-9397-08002B2CF9AE}" pid="4" name="AuthorIds_UIVersion_3072">
    <vt:lpwstr>161</vt:lpwstr>
  </property>
  <property fmtid="{D5CDD505-2E9C-101B-9397-08002B2CF9AE}" pid="5" name="AuthorIds_UIVersion_512">
    <vt:lpwstr>32</vt:lpwstr>
  </property>
  <property fmtid="{D5CDD505-2E9C-101B-9397-08002B2CF9AE}" pid="6" name="MediaServiceImageTags">
    <vt:lpwstr/>
  </property>
</Properties>
</file>