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0EE6" w14:textId="00CC53A8" w:rsidR="00A31F80" w:rsidRPr="0080263E" w:rsidRDefault="00000000">
      <w:pPr>
        <w:spacing w:after="120" w:line="252" w:lineRule="auto"/>
        <w:contextualSpacing/>
        <w:jc w:val="center"/>
        <w:rPr>
          <w:rFonts w:ascii="Carlito" w:eastAsia="Arial" w:hAnsi="Carlito" w:cs="Arial"/>
          <w:b/>
          <w:color w:val="C00000"/>
          <w:sz w:val="28"/>
          <w:lang w:val="en-US"/>
        </w:rPr>
      </w:pPr>
      <w:r>
        <w:rPr>
          <w:rFonts w:ascii="Carlito" w:eastAsia="Arial" w:hAnsi="Carlito" w:cs="Arial"/>
          <w:b/>
          <w:color w:val="C00000"/>
          <w:sz w:val="28"/>
        </w:rPr>
        <w:t>TB REACH Wave 11</w:t>
      </w:r>
      <w:r>
        <w:br/>
      </w:r>
      <w:r>
        <w:rPr>
          <w:rFonts w:ascii="Carlito" w:eastAsia="Arial" w:hAnsi="Carlito" w:cs="Arial"/>
          <w:b/>
          <w:color w:val="C00000"/>
          <w:sz w:val="28"/>
        </w:rPr>
        <w:t xml:space="preserve"> Etapa 1 - </w:t>
      </w:r>
      <w:proofErr w:type="spellStart"/>
      <w:r>
        <w:rPr>
          <w:rFonts w:ascii="Carlito" w:eastAsia="Arial" w:hAnsi="Carlito" w:cs="Arial"/>
          <w:b/>
          <w:color w:val="C00000"/>
          <w:sz w:val="28"/>
        </w:rPr>
        <w:t>Instrucciones</w:t>
      </w:r>
      <w:proofErr w:type="spellEnd"/>
      <w:r>
        <w:rPr>
          <w:rFonts w:ascii="Carlito" w:eastAsia="Arial" w:hAnsi="Carlito" w:cs="Arial"/>
          <w:b/>
          <w:color w:val="C00000"/>
          <w:sz w:val="28"/>
        </w:rPr>
        <w:t xml:space="preserve"> </w:t>
      </w:r>
      <w:proofErr w:type="spellStart"/>
      <w:r w:rsidR="0080263E">
        <w:rPr>
          <w:rFonts w:ascii="Carlito" w:eastAsia="Arial" w:hAnsi="Carlito" w:cs="Arial"/>
          <w:b/>
          <w:color w:val="C00000"/>
          <w:sz w:val="28"/>
          <w:lang w:val="en-US"/>
        </w:rPr>
        <w:t>presupuestarias</w:t>
      </w:r>
      <w:proofErr w:type="spellEnd"/>
    </w:p>
    <w:p w14:paraId="541AB780" w14:textId="77777777" w:rsidR="00EE1736" w:rsidRDefault="00EE1736" w:rsidP="00EE1736">
      <w:pPr>
        <w:pStyle w:val="P68B1DB1-BodyText2"/>
        <w:spacing w:before="23"/>
        <w:ind w:right="217"/>
        <w:jc w:val="center"/>
      </w:pPr>
      <w:bookmarkStart w:id="0" w:name="_Hlk150875359"/>
      <w:proofErr w:type="spellStart"/>
      <w:r>
        <w:rPr>
          <w:lang w:val="en-US"/>
        </w:rPr>
        <w:t>Acercando</w:t>
      </w:r>
      <w:proofErr w:type="spellEnd"/>
      <w:r>
        <w:rPr>
          <w:lang w:val="en-US"/>
        </w:rPr>
        <w:t xml:space="preserve"> </w:t>
      </w:r>
      <w:r>
        <w:t>M</w:t>
      </w:r>
      <w:r>
        <w:rPr>
          <w:lang w:val="en-US"/>
        </w:rPr>
        <w:t>e</w:t>
      </w:r>
      <w:proofErr w:type="spellStart"/>
      <w:r>
        <w:t>todo</w:t>
      </w:r>
      <w:r>
        <w:rPr>
          <w:lang w:val="en-US"/>
        </w:rPr>
        <w:t>log</w:t>
      </w:r>
      <w:r w:rsidRPr="00DB6F42">
        <w:rPr>
          <w:lang w:val="en-US"/>
        </w:rPr>
        <w:t>í</w:t>
      </w:r>
      <w:r>
        <w:rPr>
          <w:lang w:val="en-US"/>
        </w:rPr>
        <w:t>a</w:t>
      </w:r>
      <w:proofErr w:type="spellEnd"/>
      <w:r>
        <w:t xml:space="preserve">s </w:t>
      </w:r>
      <w:proofErr w:type="spellStart"/>
      <w:r>
        <w:t>innovador</w:t>
      </w:r>
      <w:proofErr w:type="spellEnd"/>
      <w:r>
        <w:rPr>
          <w:lang w:val="en-US"/>
        </w:rPr>
        <w:t>as</w:t>
      </w:r>
      <w:r>
        <w:t xml:space="preserve"> para la tuberculosis</w:t>
      </w:r>
    </w:p>
    <w:p w14:paraId="1FFE922D" w14:textId="77777777" w:rsidR="00EE1736" w:rsidRDefault="00EE1736" w:rsidP="00EE1736">
      <w:pPr>
        <w:pStyle w:val="P68B1DB1-BodyText2"/>
        <w:spacing w:before="23"/>
        <w:ind w:right="217"/>
        <w:jc w:val="center"/>
      </w:pPr>
      <w:r>
        <w:t xml:space="preserve">y la </w:t>
      </w:r>
      <w:proofErr w:type="spellStart"/>
      <w:r>
        <w:t>salud</w:t>
      </w:r>
      <w:proofErr w:type="spellEnd"/>
      <w:r>
        <w:t xml:space="preserve"> </w:t>
      </w:r>
      <w:proofErr w:type="spellStart"/>
      <w:r>
        <w:t>pulmonar</w:t>
      </w:r>
      <w:proofErr w:type="spellEnd"/>
      <w:r>
        <w:t xml:space="preserve"> 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los</w:t>
      </w:r>
      <w:proofErr w:type="spellEnd"/>
      <w:r>
        <w:rPr>
          <w:lang w:val="en-US"/>
        </w:rPr>
        <w:t xml:space="preserve"> puntos de </w:t>
      </w:r>
      <w:proofErr w:type="spellStart"/>
      <w:r>
        <w:t>necesidad</w:t>
      </w:r>
      <w:proofErr w:type="spellEnd"/>
    </w:p>
    <w:bookmarkEnd w:id="0"/>
    <w:p w14:paraId="29C07BC3" w14:textId="5A74F653" w:rsidR="00EE1736" w:rsidRDefault="00EE1736" w:rsidP="00EE1736">
      <w:pPr>
        <w:pStyle w:val="P68B1DB1-BodyText2"/>
        <w:spacing w:before="23"/>
        <w:ind w:right="217"/>
        <w:jc w:val="center"/>
      </w:pPr>
    </w:p>
    <w:p w14:paraId="35B1FDE2" w14:textId="77777777" w:rsidR="00A31F80" w:rsidRDefault="00A31F80">
      <w:pPr>
        <w:spacing w:after="0" w:line="240" w:lineRule="auto"/>
        <w:jc w:val="both"/>
      </w:pPr>
    </w:p>
    <w:p w14:paraId="72A277B4" w14:textId="1770FC32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Visión</w:t>
      </w:r>
      <w:proofErr w:type="spellEnd"/>
      <w:r>
        <w:t xml:space="preserve"> general</w:t>
      </w:r>
    </w:p>
    <w:p w14:paraId="2448BA1F" w14:textId="77777777" w:rsidR="00A31F80" w:rsidRDefault="00A31F80">
      <w:pPr>
        <w:spacing w:after="0" w:line="240" w:lineRule="auto"/>
        <w:jc w:val="both"/>
      </w:pPr>
    </w:p>
    <w:p w14:paraId="7FB34A2A" w14:textId="1CCC14F6" w:rsidR="00A31F80" w:rsidRDefault="00EE1736">
      <w:pPr>
        <w:spacing w:after="0" w:line="240" w:lineRule="auto"/>
        <w:jc w:val="both"/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estimaci</w:t>
      </w:r>
      <w:r w:rsidR="0080263E" w:rsidRPr="0080263E">
        <w:rPr>
          <w:lang w:val="en-US"/>
        </w:rPr>
        <w:t>ó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de </w:t>
      </w:r>
      <w:proofErr w:type="spellStart"/>
      <w:r>
        <w:t>presupuesto</w:t>
      </w:r>
      <w:proofErr w:type="spellEnd"/>
      <w:r>
        <w:t xml:space="preserve"> </w:t>
      </w:r>
      <w:r>
        <w:rPr>
          <w:lang w:val="en-US"/>
        </w:rPr>
        <w:t xml:space="preserve">de la </w:t>
      </w:r>
      <w:proofErr w:type="spellStart"/>
      <w:r>
        <w:t>subvención</w:t>
      </w:r>
      <w:proofErr w:type="spellEnd"/>
      <w:r>
        <w:t xml:space="preserve"> es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solicitud</w:t>
      </w:r>
      <w:proofErr w:type="spellEnd"/>
      <w:r>
        <w:t xml:space="preserve"> e </w:t>
      </w:r>
      <w:proofErr w:type="spellStart"/>
      <w:r>
        <w:t>identifica</w:t>
      </w:r>
      <w:proofErr w:type="spellEnd"/>
      <w:r>
        <w:t xml:space="preserve"> un plan de </w:t>
      </w:r>
      <w:proofErr w:type="spellStart"/>
      <w:r>
        <w:t>gastos</w:t>
      </w:r>
      <w:proofErr w:type="spellEnd"/>
      <w:r>
        <w:t xml:space="preserve"> para </w:t>
      </w:r>
      <w:proofErr w:type="spellStart"/>
      <w:r>
        <w:t>implementar</w:t>
      </w:r>
      <w:proofErr w:type="spellEnd"/>
      <w:r>
        <w:t xml:space="preserve"> con </w:t>
      </w:r>
      <w:proofErr w:type="spellStart"/>
      <w:r>
        <w:t>éxito</w:t>
      </w:r>
      <w:proofErr w:type="spellEnd"/>
      <w:r>
        <w:t xml:space="preserve"> las </w:t>
      </w:r>
      <w:proofErr w:type="spellStart"/>
      <w:r>
        <w:t>actividades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. Por lo tanto,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de la </w:t>
      </w:r>
      <w:proofErr w:type="spellStart"/>
      <w:r>
        <w:t>subvención</w:t>
      </w:r>
      <w:proofErr w:type="spellEnd"/>
      <w:r>
        <w:t xml:space="preserve"> se </w:t>
      </w:r>
      <w:proofErr w:type="spellStart"/>
      <w:r>
        <w:t>alineará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. </w:t>
      </w:r>
    </w:p>
    <w:p w14:paraId="2A7A6601" w14:textId="34A80F1A" w:rsidR="00A31F80" w:rsidRDefault="00A31F80">
      <w:pPr>
        <w:spacing w:after="0" w:line="240" w:lineRule="auto"/>
        <w:jc w:val="both"/>
      </w:pPr>
    </w:p>
    <w:p w14:paraId="33B53367" w14:textId="1A8315DD" w:rsidR="00A31F80" w:rsidRDefault="00000000">
      <w:pPr>
        <w:spacing w:after="0" w:line="240" w:lineRule="auto"/>
        <w:jc w:val="both"/>
      </w:pPr>
      <w:r>
        <w:t xml:space="preserve">El </w:t>
      </w:r>
      <w:proofErr w:type="spellStart"/>
      <w:r>
        <w:t>presupuesto</w:t>
      </w:r>
      <w:proofErr w:type="spellEnd"/>
      <w:r>
        <w:t xml:space="preserve"> de </w:t>
      </w:r>
      <w:proofErr w:type="spellStart"/>
      <w:r>
        <w:t>subvención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estructurado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diez</w:t>
      </w:r>
      <w:proofErr w:type="spellEnd"/>
      <w:r>
        <w:t xml:space="preserve"> </w:t>
      </w:r>
      <w:proofErr w:type="spellStart"/>
      <w:r>
        <w:t>categorías</w:t>
      </w:r>
      <w:proofErr w:type="spellEnd"/>
      <w:r>
        <w:t xml:space="preserve"> de </w:t>
      </w:r>
      <w:proofErr w:type="spellStart"/>
      <w:r>
        <w:t>líneas</w:t>
      </w:r>
      <w:proofErr w:type="spellEnd"/>
      <w:r>
        <w:t xml:space="preserve"> </w:t>
      </w:r>
      <w:proofErr w:type="spellStart"/>
      <w:r>
        <w:t>presupuestarias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,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la </w:t>
      </w:r>
      <w:proofErr w:type="spellStart"/>
      <w:r>
        <w:t>Sección</w:t>
      </w:r>
      <w:proofErr w:type="spellEnd"/>
      <w:r>
        <w:t xml:space="preserve"> 6 de la </w:t>
      </w:r>
      <w:proofErr w:type="spellStart"/>
      <w:r>
        <w:t>solicitud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para </w:t>
      </w:r>
      <w:proofErr w:type="spellStart"/>
      <w:r>
        <w:t>presentar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.  Al final de </w:t>
      </w:r>
      <w:proofErr w:type="spellStart"/>
      <w:r>
        <w:t>este</w:t>
      </w:r>
      <w:proofErr w:type="spellEnd"/>
      <w:r>
        <w:t xml:space="preserve"> </w:t>
      </w:r>
      <w:r w:rsidR="00EE1736">
        <w:t>document</w:t>
      </w:r>
      <w:r w:rsidR="0080263E">
        <w:rPr>
          <w:lang w:val="en-US"/>
        </w:rPr>
        <w:t>o</w:t>
      </w:r>
      <w:r w:rsidR="00EE1736">
        <w:rPr>
          <w:lang w:val="en-US"/>
        </w:rPr>
        <w:t>,</w:t>
      </w:r>
      <w:r>
        <w:t xml:space="preserve"> se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costes</w:t>
      </w:r>
      <w:proofErr w:type="spellEnd"/>
      <w:r>
        <w:t xml:space="preserve"> </w:t>
      </w:r>
      <w:proofErr w:type="spellStart"/>
      <w:r>
        <w:t>elegibles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categoría</w:t>
      </w:r>
      <w:proofErr w:type="spellEnd"/>
      <w:r>
        <w:t xml:space="preserve"> de </w:t>
      </w:r>
      <w:proofErr w:type="spellStart"/>
      <w:r>
        <w:t>presupuesto</w:t>
      </w:r>
      <w:proofErr w:type="spellEnd"/>
      <w:r>
        <w:t xml:space="preserve"> para </w:t>
      </w:r>
      <w:proofErr w:type="spellStart"/>
      <w:r>
        <w:t>facilitar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. </w:t>
      </w:r>
    </w:p>
    <w:p w14:paraId="11BDE112" w14:textId="77777777" w:rsidR="00A31F80" w:rsidRDefault="00A31F80">
      <w:pPr>
        <w:spacing w:after="0" w:line="240" w:lineRule="auto"/>
        <w:jc w:val="both"/>
      </w:pPr>
    </w:p>
    <w:p w14:paraId="13CF1B07" w14:textId="2B6D5F88" w:rsidR="00A31F80" w:rsidRDefault="00000000">
      <w:pPr>
        <w:spacing w:after="0" w:line="240" w:lineRule="auto"/>
        <w:jc w:val="both"/>
      </w:pPr>
      <w:r>
        <w:t xml:space="preserve">Para la </w:t>
      </w:r>
      <w:proofErr w:type="spellStart"/>
      <w:r>
        <w:t>etapa</w:t>
      </w:r>
      <w:proofErr w:type="spellEnd"/>
      <w:r>
        <w:t xml:space="preserve"> 1</w:t>
      </w:r>
      <w:r>
        <w:rPr>
          <w:u w:val="single"/>
        </w:rPr>
        <w:t>,</w:t>
      </w:r>
      <w:r>
        <w:t xml:space="preserve"> </w:t>
      </w:r>
      <w:proofErr w:type="spellStart"/>
      <w:r>
        <w:rPr>
          <w:u w:val="single"/>
        </w:rPr>
        <w:t>los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solicitantes</w:t>
      </w:r>
      <w:proofErr w:type="spellEnd"/>
      <w:r>
        <w:rPr>
          <w:u w:val="single"/>
        </w:rPr>
        <w:t xml:space="preserve"> no </w:t>
      </w:r>
      <w:proofErr w:type="spellStart"/>
      <w:r>
        <w:rPr>
          <w:u w:val="single"/>
        </w:rPr>
        <w:t>están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obligados</w:t>
      </w:r>
      <w:proofErr w:type="spellEnd"/>
      <w:r>
        <w:t xml:space="preserve"> a </w:t>
      </w:r>
      <w:proofErr w:type="spellStart"/>
      <w:r>
        <w:t>presentar</w:t>
      </w:r>
      <w:proofErr w:type="spellEnd"/>
      <w:r>
        <w:t xml:space="preserve"> un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detallado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Excel, </w:t>
      </w:r>
      <w:proofErr w:type="spellStart"/>
      <w:r>
        <w:t>pero</w:t>
      </w:r>
      <w:proofErr w:type="spellEnd"/>
      <w:r>
        <w:t xml:space="preserve"> se les anima 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necesarios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sección</w:t>
      </w:r>
      <w:proofErr w:type="spellEnd"/>
      <w:r>
        <w:t xml:space="preserve"> de la </w:t>
      </w:r>
      <w:proofErr w:type="spellStart"/>
      <w:r>
        <w:t>descripción</w:t>
      </w:r>
      <w:proofErr w:type="spellEnd"/>
      <w:r>
        <w:t xml:space="preserve"> del </w:t>
      </w:r>
      <w:proofErr w:type="spellStart"/>
      <w:r>
        <w:t>presupuesto</w:t>
      </w:r>
      <w:proofErr w:type="spellEnd"/>
      <w:r>
        <w:t xml:space="preserve">.   </w:t>
      </w:r>
    </w:p>
    <w:p w14:paraId="32636F15" w14:textId="2BA952FE" w:rsidR="00A31F80" w:rsidRDefault="00A31F80">
      <w:pPr>
        <w:spacing w:after="0" w:line="240" w:lineRule="auto"/>
        <w:jc w:val="both"/>
      </w:pPr>
    </w:p>
    <w:p w14:paraId="4FD07931" w14:textId="007C21DA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Moneda</w:t>
      </w:r>
      <w:proofErr w:type="spellEnd"/>
      <w:r>
        <w:t xml:space="preserve"> del </w:t>
      </w:r>
      <w:proofErr w:type="spellStart"/>
      <w:r>
        <w:t>presupuesto</w:t>
      </w:r>
      <w:proofErr w:type="spellEnd"/>
    </w:p>
    <w:p w14:paraId="4A218622" w14:textId="77777777" w:rsidR="00A31F80" w:rsidRDefault="00A31F80">
      <w:pPr>
        <w:spacing w:after="0" w:line="240" w:lineRule="auto"/>
        <w:jc w:val="both"/>
      </w:pPr>
    </w:p>
    <w:p w14:paraId="19E1B65D" w14:textId="62184361" w:rsidR="00A31F80" w:rsidRDefault="00000000">
      <w:pPr>
        <w:spacing w:after="0" w:line="240" w:lineRule="auto"/>
        <w:jc w:val="both"/>
      </w:pPr>
      <w:r>
        <w:t xml:space="preserve">Los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informes</w:t>
      </w:r>
      <w:proofErr w:type="spellEnd"/>
      <w:r>
        <w:t xml:space="preserve"> y </w:t>
      </w:r>
      <w:proofErr w:type="spellStart"/>
      <w:r>
        <w:t>presupuestos</w:t>
      </w:r>
      <w:proofErr w:type="spellEnd"/>
      <w:r>
        <w:t xml:space="preserve"> del</w:t>
      </w:r>
      <w:r w:rsidR="00EE1736">
        <w:rPr>
          <w:lang w:val="en-US"/>
        </w:rPr>
        <w:t xml:space="preserve"> Stop TB Partnership </w:t>
      </w:r>
      <w:proofErr w:type="spellStart"/>
      <w:r>
        <w:t>utilizan</w:t>
      </w:r>
      <w:proofErr w:type="spellEnd"/>
      <w:r>
        <w:t xml:space="preserve"> </w:t>
      </w:r>
      <w:proofErr w:type="spellStart"/>
      <w:r>
        <w:t>dólares</w:t>
      </w:r>
      <w:proofErr w:type="spellEnd"/>
      <w:r>
        <w:t xml:space="preserve"> </w:t>
      </w:r>
      <w:proofErr w:type="spellStart"/>
      <w:r>
        <w:t>estadounidenses</w:t>
      </w:r>
      <w:proofErr w:type="spellEnd"/>
      <w:r>
        <w:t xml:space="preserve"> (USD), y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acuerdo</w:t>
      </w:r>
      <w:proofErr w:type="spellEnd"/>
      <w:r>
        <w:t xml:space="preserve"> de </w:t>
      </w:r>
      <w:proofErr w:type="spellStart"/>
      <w:r>
        <w:t>subvención</w:t>
      </w:r>
      <w:proofErr w:type="spellEnd"/>
      <w:r>
        <w:t xml:space="preserve"> legal se </w:t>
      </w:r>
      <w:proofErr w:type="spellStart"/>
      <w:r>
        <w:t>firmará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moneda</w:t>
      </w:r>
      <w:proofErr w:type="spellEnd"/>
      <w:r>
        <w:t xml:space="preserve">. Por lo tanto,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de la </w:t>
      </w:r>
      <w:proofErr w:type="spellStart"/>
      <w:r>
        <w:t>subvención</w:t>
      </w:r>
      <w:proofErr w:type="spellEnd"/>
      <w:r>
        <w:t xml:space="preserve"> se </w:t>
      </w:r>
      <w:proofErr w:type="spellStart"/>
      <w:r>
        <w:t>presentará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USD.</w:t>
      </w:r>
    </w:p>
    <w:p w14:paraId="45EF5827" w14:textId="77777777" w:rsidR="00A31F80" w:rsidRDefault="00A31F80">
      <w:pPr>
        <w:spacing w:after="0" w:line="240" w:lineRule="auto"/>
        <w:jc w:val="both"/>
      </w:pPr>
    </w:p>
    <w:p w14:paraId="1C62BCC9" w14:textId="4F9F1AE1" w:rsidR="00A31F80" w:rsidRDefault="00000000">
      <w:pPr>
        <w:spacing w:after="0" w:line="240" w:lineRule="auto"/>
        <w:jc w:val="both"/>
      </w:pPr>
      <w:r>
        <w:t xml:space="preserve">Si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eligen</w:t>
      </w:r>
      <w:proofErr w:type="spellEnd"/>
      <w:r>
        <w:t xml:space="preserve"> </w:t>
      </w:r>
      <w:proofErr w:type="spellStart"/>
      <w:r>
        <w:t>presentar</w:t>
      </w:r>
      <w:proofErr w:type="spellEnd"/>
      <w:r>
        <w:t xml:space="preserve"> un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moneda</w:t>
      </w:r>
      <w:proofErr w:type="spellEnd"/>
      <w:r>
        <w:t xml:space="preserve"> local, </w:t>
      </w:r>
      <w:proofErr w:type="spellStart"/>
      <w:r>
        <w:t>el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cambio</w:t>
      </w:r>
      <w:proofErr w:type="spellEnd"/>
      <w:r>
        <w:t xml:space="preserve"> de </w:t>
      </w:r>
      <w:r w:rsidR="00EE1736">
        <w:rPr>
          <w:lang w:val="en-US"/>
        </w:rPr>
        <w:t xml:space="preserve">FOREX </w:t>
      </w:r>
      <w:r>
        <w:t xml:space="preserve">(del </w:t>
      </w:r>
      <w:proofErr w:type="spellStart"/>
      <w:r>
        <w:t>mes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que complete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solicitud</w:t>
      </w:r>
      <w:proofErr w:type="spellEnd"/>
      <w:r>
        <w:t xml:space="preserve">)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indicarse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celda</w:t>
      </w:r>
      <w:proofErr w:type="spellEnd"/>
      <w:r>
        <w:t xml:space="preserve"> de la </w:t>
      </w:r>
      <w:proofErr w:type="spellStart"/>
      <w:r>
        <w:t>plantilla</w:t>
      </w:r>
      <w:proofErr w:type="spellEnd"/>
      <w:r>
        <w:t xml:space="preserve"> del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detallado</w:t>
      </w:r>
      <w:proofErr w:type="spellEnd"/>
      <w:r>
        <w:t xml:space="preserve">. Esto </w:t>
      </w:r>
      <w:proofErr w:type="spellStart"/>
      <w:r>
        <w:t>convertirá</w:t>
      </w:r>
      <w:proofErr w:type="spellEnd"/>
      <w:r>
        <w:t xml:space="preserve"> </w:t>
      </w:r>
      <w:proofErr w:type="spellStart"/>
      <w:r>
        <w:t>automáticamente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de la </w:t>
      </w:r>
      <w:proofErr w:type="spellStart"/>
      <w:r>
        <w:t>moneda</w:t>
      </w:r>
      <w:proofErr w:type="spellEnd"/>
      <w:r>
        <w:t xml:space="preserve"> local a USD. </w:t>
      </w:r>
    </w:p>
    <w:p w14:paraId="7B5F2189" w14:textId="0B9686C6" w:rsidR="00A31F80" w:rsidRDefault="00A31F80">
      <w:pPr>
        <w:spacing w:after="0" w:line="240" w:lineRule="auto"/>
        <w:jc w:val="both"/>
      </w:pPr>
    </w:p>
    <w:p w14:paraId="28BD131A" w14:textId="3C4E13A6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Destinatario</w:t>
      </w:r>
      <w:proofErr w:type="spellEnd"/>
      <w:r>
        <w:t xml:space="preserve"> principal y </w:t>
      </w:r>
      <w:proofErr w:type="spellStart"/>
      <w:r>
        <w:t>subreceptores</w:t>
      </w:r>
      <w:proofErr w:type="spellEnd"/>
    </w:p>
    <w:p w14:paraId="489595E2" w14:textId="77777777" w:rsidR="00A31F80" w:rsidRDefault="00A31F80">
      <w:pPr>
        <w:spacing w:after="0" w:line="240" w:lineRule="auto"/>
        <w:jc w:val="both"/>
      </w:pPr>
    </w:p>
    <w:p w14:paraId="1AA9B824" w14:textId="08016850" w:rsidR="00A31F80" w:rsidRDefault="00000000">
      <w:pPr>
        <w:spacing w:after="0" w:line="240" w:lineRule="auto"/>
        <w:jc w:val="both"/>
      </w:pPr>
      <w:r>
        <w:t xml:space="preserve">El </w:t>
      </w:r>
      <w:proofErr w:type="spellStart"/>
      <w:r>
        <w:t>solicitante</w:t>
      </w:r>
      <w:proofErr w:type="spellEnd"/>
      <w:r>
        <w:t xml:space="preserve"> principal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destinatario</w:t>
      </w:r>
      <w:proofErr w:type="spellEnd"/>
      <w:r>
        <w:t xml:space="preserve"> principal (DP) de la </w:t>
      </w:r>
      <w:proofErr w:type="spellStart"/>
      <w:r>
        <w:t>misma</w:t>
      </w:r>
      <w:proofErr w:type="spellEnd"/>
      <w:r>
        <w:t xml:space="preserve"> y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para </w:t>
      </w:r>
      <w:proofErr w:type="spellStart"/>
      <w:r>
        <w:t>recibir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total de la </w:t>
      </w:r>
      <w:proofErr w:type="spellStart"/>
      <w:r>
        <w:t>subvención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de TB REACH, de UNOPS/</w:t>
      </w:r>
      <w:r w:rsidR="00EE1736">
        <w:rPr>
          <w:lang w:val="en-US"/>
        </w:rPr>
        <w:t>Stop TB Partnership</w:t>
      </w:r>
      <w:r>
        <w:t xml:space="preserve">, y de </w:t>
      </w:r>
      <w:proofErr w:type="spellStart"/>
      <w:r>
        <w:t>implementar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del 50 %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. El </w:t>
      </w:r>
      <w:proofErr w:type="spellStart"/>
      <w:r>
        <w:t>acuerdo</w:t>
      </w:r>
      <w:proofErr w:type="spellEnd"/>
      <w:r>
        <w:t xml:space="preserve"> de </w:t>
      </w:r>
      <w:proofErr w:type="spellStart"/>
      <w:r>
        <w:t>subvención</w:t>
      </w:r>
      <w:proofErr w:type="spellEnd"/>
      <w:r>
        <w:t xml:space="preserve"> se </w:t>
      </w:r>
      <w:proofErr w:type="spellStart"/>
      <w:r>
        <w:t>firmará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DP, </w:t>
      </w:r>
      <w:proofErr w:type="spellStart"/>
      <w:r>
        <w:t>quien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responsable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informes</w:t>
      </w:r>
      <w:proofErr w:type="spellEnd"/>
      <w:r>
        <w:t xml:space="preserve"> </w:t>
      </w:r>
      <w:proofErr w:type="spellStart"/>
      <w:r>
        <w:t>técnicos</w:t>
      </w:r>
      <w:proofErr w:type="spellEnd"/>
      <w:r>
        <w:t xml:space="preserve"> y </w:t>
      </w:r>
      <w:proofErr w:type="spellStart"/>
      <w:r>
        <w:t>financieros</w:t>
      </w:r>
      <w:proofErr w:type="spellEnd"/>
      <w:r>
        <w:t xml:space="preserve"> y de </w:t>
      </w:r>
      <w:proofErr w:type="spellStart"/>
      <w:r>
        <w:t>desembolsar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socios</w:t>
      </w:r>
      <w:proofErr w:type="spellEnd"/>
      <w:r>
        <w:t xml:space="preserve"> </w:t>
      </w:r>
      <w:proofErr w:type="spellStart"/>
      <w:r>
        <w:t>implementadores</w:t>
      </w:r>
      <w:proofErr w:type="spellEnd"/>
      <w:r>
        <w:t xml:space="preserve"> </w:t>
      </w:r>
      <w:proofErr w:type="spellStart"/>
      <w:r>
        <w:t>identificados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subreceptores</w:t>
      </w:r>
      <w:proofErr w:type="spellEnd"/>
      <w:r>
        <w:t xml:space="preserve"> (SR). </w:t>
      </w:r>
    </w:p>
    <w:p w14:paraId="7979A80C" w14:textId="77777777" w:rsidR="00A31F80" w:rsidRDefault="00A31F80">
      <w:pPr>
        <w:spacing w:after="0" w:line="240" w:lineRule="auto"/>
        <w:jc w:val="both"/>
      </w:pPr>
    </w:p>
    <w:p w14:paraId="3CFE91AB" w14:textId="32D7B9F4" w:rsidR="00A31F80" w:rsidRDefault="00000000">
      <w:pPr>
        <w:spacing w:after="0" w:line="240" w:lineRule="auto"/>
        <w:jc w:val="both"/>
      </w:pPr>
      <w:r>
        <w:t xml:space="preserve">En la </w:t>
      </w:r>
      <w:proofErr w:type="spellStart"/>
      <w:r>
        <w:t>solicitud</w:t>
      </w:r>
      <w:proofErr w:type="spellEnd"/>
      <w:r>
        <w:t xml:space="preserve"> de </w:t>
      </w:r>
      <w:proofErr w:type="spellStart"/>
      <w:r>
        <w:t>presupuesto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DP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indicar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y la </w:t>
      </w:r>
      <w:proofErr w:type="spellStart"/>
      <w:r>
        <w:t>naturaleza</w:t>
      </w:r>
      <w:proofErr w:type="spellEnd"/>
      <w:r>
        <w:t xml:space="preserve"> de las </w:t>
      </w:r>
      <w:proofErr w:type="spellStart"/>
      <w:r>
        <w:t>actividades</w:t>
      </w:r>
      <w:proofErr w:type="spellEnd"/>
      <w:r>
        <w:t xml:space="preserve"> que se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cubriendo</w:t>
      </w:r>
      <w:proofErr w:type="spellEnd"/>
      <w:r>
        <w:t xml:space="preserve">. El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combinado</w:t>
      </w:r>
      <w:proofErr w:type="spellEnd"/>
      <w:r>
        <w:t xml:space="preserve"> </w:t>
      </w:r>
      <w:proofErr w:type="spellStart"/>
      <w:r>
        <w:t>otorgado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DP no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50 % del </w:t>
      </w:r>
      <w:proofErr w:type="spellStart"/>
      <w:r>
        <w:t>presupuesto</w:t>
      </w:r>
      <w:proofErr w:type="spellEnd"/>
      <w:r>
        <w:t xml:space="preserve"> total </w:t>
      </w:r>
      <w:proofErr w:type="spellStart"/>
      <w:r>
        <w:t>solicitado</w:t>
      </w:r>
      <w:proofErr w:type="spellEnd"/>
      <w:r>
        <w:t xml:space="preserve">. </w:t>
      </w:r>
    </w:p>
    <w:p w14:paraId="4A02310C" w14:textId="7AA4A381" w:rsidR="00A31F80" w:rsidRDefault="00A31F80">
      <w:pPr>
        <w:spacing w:after="0" w:line="240" w:lineRule="auto"/>
        <w:jc w:val="both"/>
      </w:pPr>
    </w:p>
    <w:p w14:paraId="19219522" w14:textId="04673CBA" w:rsidR="00A31F80" w:rsidRPr="00EE1736" w:rsidRDefault="00EE1736">
      <w:pPr>
        <w:pStyle w:val="P68B1DB1-Normal2"/>
        <w:spacing w:after="0" w:line="240" w:lineRule="auto"/>
        <w:jc w:val="both"/>
        <w:rPr>
          <w:lang w:val="en-US"/>
        </w:rPr>
      </w:pPr>
      <w:r>
        <w:rPr>
          <w:lang w:val="en-US"/>
        </w:rPr>
        <w:t>Co-</w:t>
      </w:r>
      <w:proofErr w:type="spellStart"/>
      <w:r>
        <w:rPr>
          <w:lang w:val="en-US"/>
        </w:rPr>
        <w:t>financiamiento</w:t>
      </w:r>
      <w:proofErr w:type="spellEnd"/>
    </w:p>
    <w:p w14:paraId="4A8B1FFE" w14:textId="244C2673" w:rsidR="00A31F80" w:rsidRDefault="00A31F80">
      <w:pPr>
        <w:spacing w:after="0" w:line="240" w:lineRule="auto"/>
        <w:jc w:val="both"/>
      </w:pPr>
    </w:p>
    <w:p w14:paraId="140979D1" w14:textId="6A285D16" w:rsidR="00A31F80" w:rsidRDefault="00000000">
      <w:pPr>
        <w:spacing w:after="0" w:line="240" w:lineRule="auto"/>
        <w:jc w:val="both"/>
      </w:pPr>
      <w:proofErr w:type="spellStart"/>
      <w:r>
        <w:t>Definimos</w:t>
      </w:r>
      <w:proofErr w:type="spellEnd"/>
      <w:r>
        <w:t xml:space="preserve"> </w:t>
      </w:r>
      <w:proofErr w:type="spellStart"/>
      <w:r w:rsidR="00EE1736">
        <w:rPr>
          <w:lang w:val="en-US"/>
        </w:rPr>
        <w:t>el</w:t>
      </w:r>
      <w:proofErr w:type="spellEnd"/>
      <w:r w:rsidR="00EE1736">
        <w:rPr>
          <w:lang w:val="en-US"/>
        </w:rPr>
        <w:t xml:space="preserve"> co-</w:t>
      </w:r>
      <w:proofErr w:type="spellStart"/>
      <w:r w:rsidR="00EE1736">
        <w:rPr>
          <w:lang w:val="en-US"/>
        </w:rPr>
        <w:t>financiamiento</w:t>
      </w:r>
      <w:proofErr w:type="spellEnd"/>
      <w:r w:rsidR="00EE1736">
        <w:rPr>
          <w:lang w:val="en-US"/>
        </w:rP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financiación</w:t>
      </w:r>
      <w:proofErr w:type="spellEnd"/>
      <w:r>
        <w:t xml:space="preserve"> o las </w:t>
      </w:r>
      <w:proofErr w:type="spellStart"/>
      <w:r>
        <w:t>donaciones</w:t>
      </w:r>
      <w:proofErr w:type="spellEnd"/>
      <w:r>
        <w:t xml:space="preserve"> </w:t>
      </w:r>
      <w:proofErr w:type="spellStart"/>
      <w:r>
        <w:t>obtenidas</w:t>
      </w:r>
      <w:proofErr w:type="spellEnd"/>
      <w:r>
        <w:t xml:space="preserve"> de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fuentes</w:t>
      </w:r>
      <w:proofErr w:type="spellEnd"/>
      <w:r>
        <w:t xml:space="preserve"> </w:t>
      </w:r>
      <w:proofErr w:type="spellStart"/>
      <w:r>
        <w:t>además</w:t>
      </w:r>
      <w:proofErr w:type="spellEnd"/>
      <w:r>
        <w:t xml:space="preserve"> de la </w:t>
      </w:r>
      <w:proofErr w:type="spellStart"/>
      <w:r>
        <w:t>financiación</w:t>
      </w:r>
      <w:proofErr w:type="spellEnd"/>
      <w:r>
        <w:t xml:space="preserve"> de la </w:t>
      </w:r>
      <w:proofErr w:type="spellStart"/>
      <w:r>
        <w:t>subvención</w:t>
      </w:r>
      <w:proofErr w:type="spellEnd"/>
      <w:r>
        <w:t xml:space="preserve"> TB REACH, con </w:t>
      </w:r>
      <w:proofErr w:type="spellStart"/>
      <w:r>
        <w:t>el</w:t>
      </w:r>
      <w:proofErr w:type="spellEnd"/>
      <w:r>
        <w:t xml:space="preserve"> fin de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. Esto </w:t>
      </w:r>
      <w:proofErr w:type="spellStart"/>
      <w:r>
        <w:t>incluye</w:t>
      </w:r>
      <w:proofErr w:type="spellEnd"/>
      <w:r>
        <w:t xml:space="preserve"> tanto </w:t>
      </w:r>
      <w:proofErr w:type="spellStart"/>
      <w:r>
        <w:t>el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monetario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donaciones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especie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medicamentos</w:t>
      </w:r>
      <w:proofErr w:type="spellEnd"/>
      <w:r>
        <w:t xml:space="preserve">, </w:t>
      </w:r>
      <w:proofErr w:type="spellStart"/>
      <w:r>
        <w:t>equipos</w:t>
      </w:r>
      <w:proofErr w:type="spellEnd"/>
      <w:r>
        <w:t xml:space="preserve">, personal, etc. Si </w:t>
      </w:r>
      <w:proofErr w:type="spellStart"/>
      <w:r>
        <w:t>recibe</w:t>
      </w:r>
      <w:proofErr w:type="spellEnd"/>
      <w:r>
        <w:t xml:space="preserve"> </w:t>
      </w:r>
      <w:r w:rsidR="00EE1736">
        <w:rPr>
          <w:lang w:val="en-US"/>
        </w:rPr>
        <w:t>co-</w:t>
      </w:r>
      <w:proofErr w:type="spellStart"/>
      <w:r w:rsidR="00EE1736">
        <w:rPr>
          <w:lang w:val="en-US"/>
        </w:rPr>
        <w:t>financiamiento</w:t>
      </w:r>
      <w:proofErr w:type="spellEnd"/>
      <w:r>
        <w:t xml:space="preserve">, </w:t>
      </w:r>
      <w:proofErr w:type="spellStart"/>
      <w:r>
        <w:t>proporcione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de las </w:t>
      </w:r>
      <w:proofErr w:type="spellStart"/>
      <w:r>
        <w:t>actividades</w:t>
      </w:r>
      <w:proofErr w:type="spellEnd"/>
      <w:r>
        <w:t xml:space="preserve"> que se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cubriendo</w:t>
      </w:r>
      <w:proofErr w:type="spellEnd"/>
      <w:r>
        <w:t xml:space="preserve">. </w:t>
      </w:r>
    </w:p>
    <w:p w14:paraId="4F26C852" w14:textId="1DDFC8A2" w:rsidR="00A31F80" w:rsidRDefault="00A31F80">
      <w:pPr>
        <w:spacing w:after="0" w:line="240" w:lineRule="auto"/>
        <w:jc w:val="both"/>
      </w:pPr>
    </w:p>
    <w:p w14:paraId="090AAD13" w14:textId="77777777" w:rsidR="00EE1736" w:rsidRDefault="00EE1736">
      <w:pPr>
        <w:spacing w:after="0" w:line="240" w:lineRule="auto"/>
        <w:jc w:val="both"/>
      </w:pPr>
    </w:p>
    <w:p w14:paraId="2D20B656" w14:textId="04691FCA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Límite</w:t>
      </w:r>
      <w:proofErr w:type="spellEnd"/>
      <w:r>
        <w:t xml:space="preserve"> de la </w:t>
      </w:r>
      <w:proofErr w:type="spellStart"/>
      <w:r>
        <w:t>financiación</w:t>
      </w:r>
      <w:proofErr w:type="spellEnd"/>
      <w:r>
        <w:t xml:space="preserve"> </w:t>
      </w:r>
    </w:p>
    <w:p w14:paraId="3C58589C" w14:textId="77777777" w:rsidR="00A31F80" w:rsidRDefault="00A31F80">
      <w:pPr>
        <w:spacing w:after="0" w:line="240" w:lineRule="auto"/>
        <w:jc w:val="both"/>
      </w:pPr>
    </w:p>
    <w:p w14:paraId="3E1A7DC2" w14:textId="270AACC6" w:rsidR="00A31F80" w:rsidRDefault="00000000">
      <w:pPr>
        <w:spacing w:after="0" w:line="240" w:lineRule="auto"/>
        <w:jc w:val="both"/>
      </w:pPr>
      <w:r>
        <w:t xml:space="preserve">En Wave 11,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proyectos</w:t>
      </w:r>
      <w:proofErr w:type="spellEnd"/>
      <w:r>
        <w:t xml:space="preserve"> </w:t>
      </w:r>
      <w:proofErr w:type="spellStart"/>
      <w:r>
        <w:t>adjudicados</w:t>
      </w:r>
      <w:proofErr w:type="spellEnd"/>
      <w:r>
        <w:t xml:space="preserve"> </w:t>
      </w:r>
      <w:proofErr w:type="spellStart"/>
      <w:r>
        <w:t>tendrán</w:t>
      </w:r>
      <w:proofErr w:type="spellEnd"/>
      <w:r>
        <w:t xml:space="preserve"> un </w:t>
      </w:r>
      <w:proofErr w:type="spellStart"/>
      <w:r>
        <w:t>límite</w:t>
      </w:r>
      <w:proofErr w:type="spellEnd"/>
      <w:r>
        <w:t xml:space="preserve"> de </w:t>
      </w:r>
      <w:proofErr w:type="spellStart"/>
      <w:r>
        <w:t>financiación</w:t>
      </w:r>
      <w:proofErr w:type="spellEnd"/>
      <w:r>
        <w:t xml:space="preserve"> de 550</w:t>
      </w:r>
      <w:r w:rsidR="00A46AA3">
        <w:rPr>
          <w:lang w:val="en-US"/>
        </w:rPr>
        <w:t>,</w:t>
      </w:r>
      <w:r>
        <w:t xml:space="preserve">000 USD. La </w:t>
      </w:r>
      <w:proofErr w:type="spellStart"/>
      <w:r>
        <w:t>cantidad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 </w:t>
      </w:r>
      <w:proofErr w:type="spellStart"/>
      <w:r>
        <w:t>fondos</w:t>
      </w:r>
      <w:proofErr w:type="spellEnd"/>
      <w:r>
        <w:t xml:space="preserve"> que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solicitar</w:t>
      </w:r>
      <w:proofErr w:type="spellEnd"/>
      <w:r>
        <w:t xml:space="preserve"> </w:t>
      </w:r>
      <w:proofErr w:type="spellStart"/>
      <w:r>
        <w:t>depende</w:t>
      </w:r>
      <w:proofErr w:type="spellEnd"/>
      <w:r>
        <w:t xml:space="preserve"> </w:t>
      </w:r>
      <w:bookmarkStart w:id="1" w:name="_Hlk150876768"/>
      <w:r>
        <w:t>del</w:t>
      </w:r>
      <w:r w:rsidR="00A46AA3">
        <w:rPr>
          <w:lang w:val="en-US"/>
        </w:rPr>
        <w:t xml:space="preserve"> </w:t>
      </w:r>
      <w:proofErr w:type="spellStart"/>
      <w:r w:rsidR="00A46AA3">
        <w:rPr>
          <w:lang w:val="en-US"/>
        </w:rPr>
        <w:t>presupuesto</w:t>
      </w:r>
      <w:proofErr w:type="spellEnd"/>
      <w:r w:rsidR="00A46AA3">
        <w:rPr>
          <w:lang w:val="en-US"/>
        </w:rPr>
        <w:t xml:space="preserve"> </w:t>
      </w:r>
      <w:proofErr w:type="spellStart"/>
      <w:r>
        <w:t>anual</w:t>
      </w:r>
      <w:proofErr w:type="spellEnd"/>
      <w:r>
        <w:t xml:space="preserve"> del DP. El </w:t>
      </w:r>
      <w:proofErr w:type="spellStart"/>
      <w:r>
        <w:t>monto</w:t>
      </w:r>
      <w:proofErr w:type="spellEnd"/>
      <w:r>
        <w:t xml:space="preserve"> total </w:t>
      </w:r>
      <w:proofErr w:type="spellStart"/>
      <w:r>
        <w:t>solicitado</w:t>
      </w:r>
      <w:proofErr w:type="spellEnd"/>
      <w:r>
        <w:t xml:space="preserve"> no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5 </w:t>
      </w:r>
      <w:proofErr w:type="spellStart"/>
      <w:r>
        <w:t>veces</w:t>
      </w:r>
      <w:proofErr w:type="spellEnd"/>
      <w:r>
        <w:t xml:space="preserve"> </w:t>
      </w:r>
      <w:r w:rsidR="00F767D5">
        <w:rPr>
          <w:lang w:val="en-US"/>
        </w:rPr>
        <w:t>del</w:t>
      </w:r>
      <w:r>
        <w:t xml:space="preserve"> </w:t>
      </w:r>
      <w:proofErr w:type="spellStart"/>
      <w:r>
        <w:t>monto</w:t>
      </w:r>
      <w:proofErr w:type="spellEnd"/>
      <w:r>
        <w:t xml:space="preserve"> </w:t>
      </w:r>
      <w:r w:rsidR="00F767D5">
        <w:rPr>
          <w:lang w:val="en-US"/>
        </w:rPr>
        <w:t xml:space="preserve">del </w:t>
      </w:r>
      <w:proofErr w:type="spellStart"/>
      <w:r w:rsidR="00F767D5" w:rsidRPr="00F767D5">
        <w:rPr>
          <w:lang w:val="en-US"/>
        </w:rPr>
        <w:t>ú</w:t>
      </w:r>
      <w:r w:rsidR="00A46AA3">
        <w:rPr>
          <w:lang w:val="en-US"/>
        </w:rPr>
        <w:t>ltimo</w:t>
      </w:r>
      <w:proofErr w:type="spellEnd"/>
      <w:r w:rsidR="00A46AA3">
        <w:rPr>
          <w:lang w:val="en-US"/>
        </w:rPr>
        <w:t xml:space="preserve"> </w:t>
      </w:r>
      <w:proofErr w:type="spellStart"/>
      <w:r w:rsidR="00A46AA3">
        <w:rPr>
          <w:lang w:val="en-US"/>
        </w:rPr>
        <w:t>estado</w:t>
      </w:r>
      <w:proofErr w:type="spellEnd"/>
      <w:r w:rsidR="00A46AA3">
        <w:rPr>
          <w:lang w:val="en-US"/>
        </w:rPr>
        <w:t xml:space="preserve"> </w:t>
      </w:r>
      <w:proofErr w:type="spellStart"/>
      <w:r w:rsidR="00A46AA3">
        <w:rPr>
          <w:lang w:val="en-US"/>
        </w:rPr>
        <w:t>financiero</w:t>
      </w:r>
      <w:proofErr w:type="spellEnd"/>
      <w:r w:rsidR="00F767D5">
        <w:rPr>
          <w:lang w:val="en-US"/>
        </w:rPr>
        <w:t xml:space="preserve"> de la </w:t>
      </w:r>
      <w:proofErr w:type="spellStart"/>
      <w:r w:rsidR="00F767D5">
        <w:rPr>
          <w:lang w:val="en-US"/>
        </w:rPr>
        <w:t>auditor</w:t>
      </w:r>
      <w:r w:rsidR="00F767D5" w:rsidRPr="00F767D5">
        <w:rPr>
          <w:lang w:val="en-US"/>
        </w:rPr>
        <w:t>í</w:t>
      </w:r>
      <w:r w:rsidR="00F767D5">
        <w:rPr>
          <w:lang w:val="en-US"/>
        </w:rPr>
        <w:t>a</w:t>
      </w:r>
      <w:proofErr w:type="spellEnd"/>
      <w:r w:rsidR="00F767D5">
        <w:rPr>
          <w:lang w:val="en-US"/>
        </w:rPr>
        <w:t xml:space="preserve"> </w:t>
      </w:r>
      <w:proofErr w:type="spellStart"/>
      <w:r w:rsidR="00F767D5">
        <w:rPr>
          <w:lang w:val="en-US"/>
        </w:rPr>
        <w:t>m</w:t>
      </w:r>
      <w:r w:rsidR="00F767D5" w:rsidRPr="00F767D5">
        <w:rPr>
          <w:lang w:val="en-US"/>
        </w:rPr>
        <w:t>á</w:t>
      </w:r>
      <w:r w:rsidR="00F767D5">
        <w:rPr>
          <w:lang w:val="en-US"/>
        </w:rPr>
        <w:t>s</w:t>
      </w:r>
      <w:proofErr w:type="spellEnd"/>
      <w:r w:rsidR="00F767D5">
        <w:rPr>
          <w:lang w:val="en-US"/>
        </w:rPr>
        <w:t xml:space="preserve"> </w:t>
      </w:r>
      <w:proofErr w:type="spellStart"/>
      <w:r w:rsidR="00F767D5">
        <w:rPr>
          <w:lang w:val="en-US"/>
        </w:rPr>
        <w:t>reciente</w:t>
      </w:r>
      <w:proofErr w:type="spellEnd"/>
      <w:r w:rsidR="00A46AA3">
        <w:rPr>
          <w:lang w:val="en-US"/>
        </w:rPr>
        <w:t xml:space="preserve"> </w:t>
      </w:r>
      <w:r>
        <w:t xml:space="preserve">del DP. </w:t>
      </w:r>
    </w:p>
    <w:bookmarkEnd w:id="1"/>
    <w:p w14:paraId="658CA9D7" w14:textId="34C3C465" w:rsidR="00A31F80" w:rsidRDefault="00A31F80">
      <w:pPr>
        <w:spacing w:after="0" w:line="240" w:lineRule="auto"/>
        <w:jc w:val="both"/>
      </w:pPr>
    </w:p>
    <w:p w14:paraId="701A4F09" w14:textId="3E44841A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Duración</w:t>
      </w:r>
      <w:proofErr w:type="spellEnd"/>
      <w:r>
        <w:t xml:space="preserve"> de la </w:t>
      </w:r>
      <w:proofErr w:type="spellStart"/>
      <w:r>
        <w:t>subvención</w:t>
      </w:r>
      <w:proofErr w:type="spellEnd"/>
      <w:r>
        <w:t xml:space="preserve"> y </w:t>
      </w:r>
      <w:proofErr w:type="spellStart"/>
      <w:r>
        <w:t>presupuesto</w:t>
      </w:r>
      <w:proofErr w:type="spellEnd"/>
    </w:p>
    <w:p w14:paraId="5E969B91" w14:textId="19575505" w:rsidR="00A31F80" w:rsidRDefault="00A31F80">
      <w:pPr>
        <w:spacing w:after="0" w:line="240" w:lineRule="auto"/>
        <w:jc w:val="both"/>
      </w:pPr>
    </w:p>
    <w:p w14:paraId="31DE560F" w14:textId="32C8B89F" w:rsidR="00A31F80" w:rsidRDefault="00000000">
      <w:pPr>
        <w:spacing w:after="0" w:line="240" w:lineRule="auto"/>
        <w:jc w:val="both"/>
      </w:pPr>
      <w:r>
        <w:t xml:space="preserve">La </w:t>
      </w:r>
      <w:proofErr w:type="spellStart"/>
      <w:r>
        <w:t>duración</w:t>
      </w:r>
      <w:proofErr w:type="spellEnd"/>
      <w:r>
        <w:t xml:space="preserve"> de las </w:t>
      </w:r>
      <w:proofErr w:type="spellStart"/>
      <w:r>
        <w:t>subvenciones</w:t>
      </w:r>
      <w:proofErr w:type="spellEnd"/>
      <w:r>
        <w:t xml:space="preserve"> </w:t>
      </w:r>
      <w:r w:rsidR="00000628">
        <w:t>del Wave 11</w:t>
      </w:r>
      <w:r>
        <w:t xml:space="preserve"> es de hasta 18 meses, </w:t>
      </w:r>
      <w:r w:rsidR="00F767D5">
        <w:rPr>
          <w:lang w:val="en-US"/>
        </w:rPr>
        <w:t xml:space="preserve">que </w:t>
      </w:r>
      <w:proofErr w:type="spellStart"/>
      <w:r w:rsidR="00F767D5">
        <w:rPr>
          <w:lang w:val="en-US"/>
        </w:rPr>
        <w:t>generalmente</w:t>
      </w:r>
      <w:proofErr w:type="spellEnd"/>
      <w:r w:rsidR="00F767D5">
        <w:rPr>
          <w:lang w:val="en-US"/>
        </w:rPr>
        <w:t xml:space="preserve"> </w:t>
      </w:r>
      <w:proofErr w:type="spellStart"/>
      <w:r w:rsidR="00F767D5">
        <w:rPr>
          <w:lang w:val="en-US"/>
        </w:rPr>
        <w:t>incluyen</w:t>
      </w:r>
      <w:proofErr w:type="spellEnd"/>
      <w:r>
        <w:t xml:space="preserve"> 3 meses de </w:t>
      </w:r>
      <w:proofErr w:type="spellStart"/>
      <w:r>
        <w:t>preparación</w:t>
      </w:r>
      <w:proofErr w:type="spellEnd"/>
      <w:r>
        <w:t xml:space="preserve">, 3 meses de </w:t>
      </w:r>
      <w:proofErr w:type="spellStart"/>
      <w:r>
        <w:t>cierre</w:t>
      </w:r>
      <w:proofErr w:type="spellEnd"/>
      <w:r>
        <w:t xml:space="preserve"> y 12 meses de </w:t>
      </w:r>
      <w:proofErr w:type="spellStart"/>
      <w:r>
        <w:t>implementación</w:t>
      </w:r>
      <w:proofErr w:type="spellEnd"/>
      <w:r>
        <w:t xml:space="preserve">. </w:t>
      </w:r>
      <w:proofErr w:type="spellStart"/>
      <w:r>
        <w:t>Asegúrese</w:t>
      </w:r>
      <w:proofErr w:type="spellEnd"/>
      <w:r>
        <w:t xml:space="preserve"> de que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alineado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calendario</w:t>
      </w:r>
      <w:proofErr w:type="spellEnd"/>
      <w:r>
        <w:t xml:space="preserve"> de </w:t>
      </w:r>
      <w:proofErr w:type="spellStart"/>
      <w:r>
        <w:t>su</w:t>
      </w:r>
      <w:proofErr w:type="spellEnd"/>
      <w:r w:rsidR="00F767D5">
        <w:rPr>
          <w:lang w:val="en-US"/>
        </w:rPr>
        <w:t>s</w:t>
      </w:r>
      <w:r>
        <w:t xml:space="preserve"> </w:t>
      </w:r>
      <w:proofErr w:type="spellStart"/>
      <w:r>
        <w:t>actividad</w:t>
      </w:r>
      <w:proofErr w:type="spellEnd"/>
      <w:r w:rsidR="00F767D5">
        <w:rPr>
          <w:lang w:val="en-US"/>
        </w:rPr>
        <w:t xml:space="preserve">es </w:t>
      </w:r>
      <w:proofErr w:type="spellStart"/>
      <w:r w:rsidR="00F767D5">
        <w:rPr>
          <w:lang w:val="en-US"/>
        </w:rPr>
        <w:t>propuestas</w:t>
      </w:r>
      <w:proofErr w:type="spellEnd"/>
      <w:r>
        <w:t>.</w:t>
      </w:r>
    </w:p>
    <w:p w14:paraId="5650F842" w14:textId="7B50E40C" w:rsidR="00A31F80" w:rsidRDefault="00A31F80">
      <w:pPr>
        <w:spacing w:after="0" w:line="240" w:lineRule="auto"/>
        <w:jc w:val="both"/>
      </w:pPr>
    </w:p>
    <w:p w14:paraId="6949AC06" w14:textId="4A595232" w:rsidR="00A31F80" w:rsidRDefault="00A31F80">
      <w:pPr>
        <w:spacing w:after="0" w:line="240" w:lineRule="auto"/>
        <w:jc w:val="both"/>
      </w:pPr>
    </w:p>
    <w:p w14:paraId="656D82D2" w14:textId="46CDC7E6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Consideraciones</w:t>
      </w:r>
      <w:proofErr w:type="spellEnd"/>
      <w:r>
        <w:t xml:space="preserve"> </w:t>
      </w:r>
      <w:proofErr w:type="spellStart"/>
      <w:r>
        <w:t>especiales</w:t>
      </w:r>
      <w:proofErr w:type="spellEnd"/>
      <w:r>
        <w:t xml:space="preserve"> </w:t>
      </w:r>
      <w:proofErr w:type="gramStart"/>
      <w:r>
        <w:t>para India</w:t>
      </w:r>
      <w:proofErr w:type="gramEnd"/>
      <w:r>
        <w:t xml:space="preserve">, </w:t>
      </w:r>
      <w:proofErr w:type="spellStart"/>
      <w:r>
        <w:t>Afganistán</w:t>
      </w:r>
      <w:proofErr w:type="spellEnd"/>
      <w:r>
        <w:t xml:space="preserve"> y Vietnam </w:t>
      </w:r>
    </w:p>
    <w:p w14:paraId="0C1B13D2" w14:textId="1541E56F" w:rsidR="00A31F80" w:rsidRDefault="00A31F80">
      <w:pPr>
        <w:spacing w:after="0" w:line="240" w:lineRule="auto"/>
        <w:jc w:val="both"/>
      </w:pPr>
    </w:p>
    <w:p w14:paraId="1C0B7FCC" w14:textId="6C66E860" w:rsidR="00A31F80" w:rsidRDefault="00000000">
      <w:pPr>
        <w:spacing w:after="0" w:line="240" w:lineRule="auto"/>
        <w:jc w:val="both"/>
      </w:pPr>
      <w:r>
        <w:t xml:space="preserve">Para la </w:t>
      </w:r>
      <w:proofErr w:type="spellStart"/>
      <w:r>
        <w:t>implementación</w:t>
      </w:r>
      <w:proofErr w:type="spellEnd"/>
      <w:r>
        <w:t xml:space="preserve"> de </w:t>
      </w:r>
      <w:proofErr w:type="spellStart"/>
      <w:r>
        <w:t>proyectos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India,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registrados</w:t>
      </w:r>
      <w:proofErr w:type="spellEnd"/>
      <w:r>
        <w:t xml:space="preserve"> y </w:t>
      </w:r>
      <w:proofErr w:type="spellStart"/>
      <w:r>
        <w:t>operar</w:t>
      </w:r>
      <w:proofErr w:type="spellEnd"/>
      <w:r>
        <w:t xml:space="preserve"> bajo la </w:t>
      </w:r>
      <w:proofErr w:type="spellStart"/>
      <w:r>
        <w:t>Enmienda</w:t>
      </w:r>
      <w:proofErr w:type="spellEnd"/>
      <w:r>
        <w:t xml:space="preserve"> a la Ley de </w:t>
      </w:r>
      <w:proofErr w:type="spellStart"/>
      <w:r>
        <w:t>Contribuciones</w:t>
      </w:r>
      <w:proofErr w:type="spellEnd"/>
      <w:r>
        <w:t xml:space="preserve"> </w:t>
      </w:r>
      <w:proofErr w:type="spellStart"/>
      <w:r>
        <w:t>Extranjeras</w:t>
      </w:r>
      <w:proofErr w:type="spellEnd"/>
      <w:r>
        <w:t xml:space="preserve"> (</w:t>
      </w:r>
      <w:proofErr w:type="spellStart"/>
      <w:r>
        <w:t>Reglamentos</w:t>
      </w:r>
      <w:proofErr w:type="spellEnd"/>
      <w:r>
        <w:t xml:space="preserve">) de 2020, </w:t>
      </w:r>
      <w:proofErr w:type="spellStart"/>
      <w:r>
        <w:t>introducida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de la República de la India </w:t>
      </w:r>
      <w:proofErr w:type="spellStart"/>
      <w:r>
        <w:t>el</w:t>
      </w:r>
      <w:proofErr w:type="spellEnd"/>
      <w:r>
        <w:t xml:space="preserve"> 28 de </w:t>
      </w:r>
      <w:proofErr w:type="spellStart"/>
      <w:r>
        <w:t>septiembre</w:t>
      </w:r>
      <w:proofErr w:type="spellEnd"/>
      <w:r>
        <w:t xml:space="preserve"> de 2020.</w:t>
      </w:r>
    </w:p>
    <w:p w14:paraId="11CC6DFD" w14:textId="77777777" w:rsidR="00A31F80" w:rsidRDefault="00A31F80">
      <w:pPr>
        <w:spacing w:after="0" w:line="240" w:lineRule="auto"/>
        <w:jc w:val="both"/>
      </w:pPr>
    </w:p>
    <w:p w14:paraId="3A56B5DD" w14:textId="00B59DA0" w:rsidR="00A31F80" w:rsidRDefault="00000000">
      <w:pPr>
        <w:spacing w:after="0" w:line="240" w:lineRule="auto"/>
        <w:jc w:val="both"/>
      </w:pPr>
      <w:proofErr w:type="spellStart"/>
      <w:r>
        <w:t>Debido</w:t>
      </w:r>
      <w:proofErr w:type="spellEnd"/>
      <w:r>
        <w:t xml:space="preserve"> a la </w:t>
      </w:r>
      <w:proofErr w:type="spellStart"/>
      <w:r>
        <w:t>situación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Afganistán</w:t>
      </w:r>
      <w:proofErr w:type="spellEnd"/>
      <w:r>
        <w:t xml:space="preserve">, las </w:t>
      </w:r>
      <w:proofErr w:type="spellStart"/>
      <w:r>
        <w:t>transferencias</w:t>
      </w:r>
      <w:proofErr w:type="spellEnd"/>
      <w:r>
        <w:t xml:space="preserve"> </w:t>
      </w:r>
      <w:proofErr w:type="spellStart"/>
      <w:r>
        <w:t>electrónicas</w:t>
      </w:r>
      <w:proofErr w:type="spellEnd"/>
      <w:r>
        <w:t xml:space="preserve"> </w:t>
      </w:r>
      <w:proofErr w:type="spellStart"/>
      <w:r>
        <w:t>internacionales</w:t>
      </w:r>
      <w:proofErr w:type="spellEnd"/>
      <w:r>
        <w:t xml:space="preserve"> al </w:t>
      </w:r>
      <w:proofErr w:type="spellStart"/>
      <w:r>
        <w:t>país</w:t>
      </w:r>
      <w:proofErr w:type="spellEnd"/>
      <w:r>
        <w:t xml:space="preserve"> son </w:t>
      </w:r>
      <w:proofErr w:type="spellStart"/>
      <w:r>
        <w:t>difíciles</w:t>
      </w:r>
      <w:proofErr w:type="spellEnd"/>
      <w:r>
        <w:t xml:space="preserve">. 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que se </w:t>
      </w:r>
      <w:proofErr w:type="spellStart"/>
      <w:r>
        <w:t>redacta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nota, solo un banco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autorizado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las </w:t>
      </w:r>
      <w:proofErr w:type="spellStart"/>
      <w:r>
        <w:t>Naciones</w:t>
      </w:r>
      <w:proofErr w:type="spellEnd"/>
      <w:r>
        <w:t xml:space="preserve"> </w:t>
      </w:r>
      <w:proofErr w:type="spellStart"/>
      <w:r>
        <w:t>Unidas</w:t>
      </w:r>
      <w:proofErr w:type="spellEnd"/>
      <w:r>
        <w:t xml:space="preserve"> para </w:t>
      </w:r>
      <w:proofErr w:type="spellStart"/>
      <w:r>
        <w:t>recibir</w:t>
      </w:r>
      <w:proofErr w:type="spellEnd"/>
      <w:r>
        <w:t xml:space="preserve"> dinero</w:t>
      </w:r>
      <w:r w:rsidR="00F767D5">
        <w:rPr>
          <w:lang w:val="en-US"/>
        </w:rPr>
        <w:t xml:space="preserve"> de </w:t>
      </w:r>
      <w:proofErr w:type="spellStart"/>
      <w:r w:rsidR="00F767D5">
        <w:rPr>
          <w:lang w:val="en-US"/>
        </w:rPr>
        <w:t>fuentes</w:t>
      </w:r>
      <w:proofErr w:type="spellEnd"/>
      <w:r>
        <w:t xml:space="preserve"> </w:t>
      </w:r>
      <w:proofErr w:type="spellStart"/>
      <w:r>
        <w:t>internacional</w:t>
      </w:r>
      <w:proofErr w:type="spellEnd"/>
      <w:r w:rsidR="00F767D5">
        <w:rPr>
          <w:lang w:val="en-US"/>
        </w:rPr>
        <w:t>es</w:t>
      </w:r>
      <w:r>
        <w:t xml:space="preserve">. Se </w:t>
      </w:r>
      <w:proofErr w:type="spellStart"/>
      <w:r>
        <w:t>proporcionará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orientación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seleccionados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se </w:t>
      </w:r>
      <w:proofErr w:type="spellStart"/>
      <w:r>
        <w:t>esperan</w:t>
      </w:r>
      <w:proofErr w:type="spellEnd"/>
      <w:r>
        <w:t xml:space="preserve"> </w:t>
      </w:r>
      <w:proofErr w:type="spellStart"/>
      <w:r>
        <w:t>retrasos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pagos</w:t>
      </w:r>
      <w:proofErr w:type="spellEnd"/>
      <w:r>
        <w:t xml:space="preserve"> y se </w:t>
      </w:r>
      <w:proofErr w:type="spellStart"/>
      <w:r>
        <w:t>recomienda</w:t>
      </w:r>
      <w:proofErr w:type="spellEnd"/>
      <w:r>
        <w:t xml:space="preserve"> un plan de </w:t>
      </w:r>
      <w:proofErr w:type="spellStart"/>
      <w:r>
        <w:t>respaldo</w:t>
      </w:r>
      <w:proofErr w:type="spellEnd"/>
      <w:r>
        <w:t xml:space="preserve"> (</w:t>
      </w:r>
      <w:proofErr w:type="spellStart"/>
      <w:r>
        <w:t>utilización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básicos</w:t>
      </w:r>
      <w:proofErr w:type="spellEnd"/>
      <w:r>
        <w:t>, etc.).</w:t>
      </w:r>
    </w:p>
    <w:p w14:paraId="7D23A24D" w14:textId="77777777" w:rsidR="00A31F80" w:rsidRDefault="00A31F80">
      <w:pPr>
        <w:spacing w:after="0" w:line="240" w:lineRule="auto"/>
        <w:jc w:val="both"/>
      </w:pPr>
    </w:p>
    <w:p w14:paraId="0302BBA3" w14:textId="7EDE0D11" w:rsidR="00A31F80" w:rsidRDefault="00000000">
      <w:pPr>
        <w:spacing w:after="0" w:line="240" w:lineRule="auto"/>
        <w:jc w:val="both"/>
      </w:pPr>
      <w:r>
        <w:t xml:space="preserve">Los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vietnamitas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comprensión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legal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autoridad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. Esto es de </w:t>
      </w:r>
      <w:proofErr w:type="spellStart"/>
      <w:r>
        <w:t>aplicación</w:t>
      </w:r>
      <w:proofErr w:type="spellEnd"/>
      <w:r>
        <w:t xml:space="preserve"> a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posibles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gubernamentales</w:t>
      </w:r>
      <w:proofErr w:type="spellEnd"/>
      <w:r>
        <w:t xml:space="preserve"> o no </w:t>
      </w:r>
      <w:proofErr w:type="spellStart"/>
      <w:r>
        <w:t>gubernamentales</w:t>
      </w:r>
      <w:proofErr w:type="spellEnd"/>
      <w:r>
        <w:t xml:space="preserve">, y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últimos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</w:t>
      </w:r>
      <w:proofErr w:type="spellStart"/>
      <w:r>
        <w:t>sean</w:t>
      </w:r>
      <w:proofErr w:type="spellEnd"/>
      <w:r>
        <w:t xml:space="preserve"> locales o </w:t>
      </w:r>
      <w:proofErr w:type="spellStart"/>
      <w:r>
        <w:t>internacionales</w:t>
      </w:r>
      <w:proofErr w:type="spellEnd"/>
      <w:r>
        <w:t xml:space="preserve">. Los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asegurarse</w:t>
      </w:r>
      <w:proofErr w:type="spellEnd"/>
      <w:r>
        <w:t xml:space="preserve"> de </w:t>
      </w:r>
      <w:proofErr w:type="spellStart"/>
      <w:r>
        <w:t>comprender</w:t>
      </w:r>
      <w:proofErr w:type="spellEnd"/>
      <w:r>
        <w:t xml:space="preserve"> las </w:t>
      </w:r>
      <w:proofErr w:type="spellStart"/>
      <w:r>
        <w:t>regulaciones</w:t>
      </w:r>
      <w:proofErr w:type="spellEnd"/>
      <w:r>
        <w:t xml:space="preserve"> </w:t>
      </w:r>
      <w:proofErr w:type="spellStart"/>
      <w:r>
        <w:t>vigentes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recepción</w:t>
      </w:r>
      <w:proofErr w:type="spellEnd"/>
      <w:r>
        <w:t xml:space="preserve"> y la </w:t>
      </w:r>
      <w:proofErr w:type="spellStart"/>
      <w:r>
        <w:t>implementación</w:t>
      </w:r>
      <w:proofErr w:type="spellEnd"/>
      <w:r>
        <w:t xml:space="preserve"> de </w:t>
      </w:r>
      <w:proofErr w:type="spellStart"/>
      <w:r>
        <w:t>fondos</w:t>
      </w:r>
      <w:proofErr w:type="spellEnd"/>
      <w:r>
        <w:t xml:space="preserve"> </w:t>
      </w:r>
      <w:proofErr w:type="spellStart"/>
      <w:r>
        <w:t>extranjeros</w:t>
      </w:r>
      <w:proofErr w:type="spellEnd"/>
      <w:r>
        <w:t xml:space="preserve"> con fines </w:t>
      </w:r>
      <w:proofErr w:type="spellStart"/>
      <w:r>
        <w:t>benéficos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Decreto</w:t>
      </w:r>
      <w:proofErr w:type="spellEnd"/>
      <w:r>
        <w:t xml:space="preserve"> 114/2021/NĐ-CP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Decreto</w:t>
      </w:r>
      <w:proofErr w:type="spellEnd"/>
      <w:r>
        <w:t xml:space="preserve"> 80/2020/NĐ-CP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recepción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fondos</w:t>
      </w:r>
      <w:proofErr w:type="spellEnd"/>
      <w:r>
        <w:t xml:space="preserve"> de AOD y no AOD, </w:t>
      </w:r>
      <w:proofErr w:type="spellStart"/>
      <w:r>
        <w:t>respectivamente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leyes</w:t>
      </w:r>
      <w:proofErr w:type="spellEnd"/>
      <w:r>
        <w:t xml:space="preserve"> </w:t>
      </w:r>
      <w:proofErr w:type="spellStart"/>
      <w:r>
        <w:t>vigentes</w:t>
      </w:r>
      <w:proofErr w:type="spellEnd"/>
      <w:r>
        <w:t xml:space="preserve"> con </w:t>
      </w:r>
      <w:proofErr w:type="spellStart"/>
      <w:r>
        <w:t>respecto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impuestos</w:t>
      </w:r>
      <w:proofErr w:type="spellEnd"/>
      <w:r>
        <w:t xml:space="preserve"> y </w:t>
      </w:r>
      <w:proofErr w:type="spellStart"/>
      <w:r>
        <w:t>especialmente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IVA. En </w:t>
      </w:r>
      <w:proofErr w:type="spellStart"/>
      <w:r>
        <w:t>etapas</w:t>
      </w:r>
      <w:proofErr w:type="spellEnd"/>
      <w:r>
        <w:t xml:space="preserve"> </w:t>
      </w:r>
      <w:proofErr w:type="spellStart"/>
      <w:r>
        <w:t>posteriores</w:t>
      </w:r>
      <w:proofErr w:type="spellEnd"/>
      <w:r>
        <w:t xml:space="preserve">, es </w:t>
      </w:r>
      <w:proofErr w:type="spellStart"/>
      <w:r>
        <w:t>posible</w:t>
      </w:r>
      <w:proofErr w:type="spellEnd"/>
      <w:r>
        <w:t xml:space="preserve"> que se </w:t>
      </w:r>
      <w:proofErr w:type="spellStart"/>
      <w:r>
        <w:t>requiera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proporcionen</w:t>
      </w:r>
      <w:proofErr w:type="spellEnd"/>
      <w:r>
        <w:t xml:space="preserve"> </w:t>
      </w:r>
      <w:proofErr w:type="spellStart"/>
      <w:r>
        <w:t>documentación</w:t>
      </w:r>
      <w:proofErr w:type="spellEnd"/>
      <w:r>
        <w:t xml:space="preserve"> para </w:t>
      </w:r>
      <w:proofErr w:type="spellStart"/>
      <w:r>
        <w:t>demostrar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comprensión</w:t>
      </w:r>
      <w:proofErr w:type="spellEnd"/>
      <w:r>
        <w:t xml:space="preserve"> y </w:t>
      </w:r>
      <w:proofErr w:type="spellStart"/>
      <w:r>
        <w:t>experiencia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estos</w:t>
      </w:r>
      <w:proofErr w:type="spellEnd"/>
      <w:r>
        <w:t> </w:t>
      </w:r>
      <w:proofErr w:type="spellStart"/>
      <w:r>
        <w:t>asuntos</w:t>
      </w:r>
      <w:proofErr w:type="spellEnd"/>
      <w:r>
        <w:t>.</w:t>
      </w:r>
    </w:p>
    <w:p w14:paraId="5EFCBD78" w14:textId="77777777" w:rsidR="00A31F80" w:rsidRDefault="00A31F80">
      <w:pPr>
        <w:spacing w:after="0" w:line="240" w:lineRule="auto"/>
        <w:jc w:val="both"/>
      </w:pPr>
    </w:p>
    <w:p w14:paraId="378434F1" w14:textId="50160339" w:rsidR="00A31F80" w:rsidRDefault="00A31F80">
      <w:pPr>
        <w:spacing w:after="0" w:line="240" w:lineRule="auto"/>
        <w:jc w:val="both"/>
        <w:rPr>
          <w:rFonts w:eastAsiaTheme="minorHAnsi"/>
        </w:rPr>
      </w:pPr>
    </w:p>
    <w:p w14:paraId="55D5FA55" w14:textId="467D4C58" w:rsidR="00A31F80" w:rsidRDefault="00000000">
      <w:pPr>
        <w:pStyle w:val="P68B1DB1-Normal2"/>
        <w:spacing w:after="0" w:line="240" w:lineRule="auto"/>
        <w:jc w:val="both"/>
      </w:pPr>
      <w:proofErr w:type="spellStart"/>
      <w:r>
        <w:t>Propuesta</w:t>
      </w:r>
      <w:proofErr w:type="spellEnd"/>
      <w:r>
        <w:t xml:space="preserve"> de directrices </w:t>
      </w:r>
      <w:proofErr w:type="spellStart"/>
      <w:r>
        <w:t>presupuestarias</w:t>
      </w:r>
      <w:proofErr w:type="spellEnd"/>
    </w:p>
    <w:p w14:paraId="264DB55E" w14:textId="77777777" w:rsidR="00A31F80" w:rsidRDefault="00A31F80">
      <w:pPr>
        <w:spacing w:after="0" w:line="240" w:lineRule="auto"/>
        <w:jc w:val="both"/>
        <w:rPr>
          <w:rFonts w:eastAsiaTheme="minorHAnsi"/>
        </w:rPr>
      </w:pPr>
    </w:p>
    <w:p w14:paraId="2D692370" w14:textId="34DD5AE4" w:rsidR="00A31F80" w:rsidRDefault="00000000">
      <w:pPr>
        <w:pStyle w:val="P68B1DB1-Normal3"/>
        <w:spacing w:after="60" w:line="240" w:lineRule="auto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1 –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humanos</w:t>
      </w:r>
      <w:proofErr w:type="spellEnd"/>
    </w:p>
    <w:p w14:paraId="414744F6" w14:textId="1D30178E" w:rsidR="00A31F80" w:rsidRDefault="00000000">
      <w:pPr>
        <w:pStyle w:val="P68B1DB1-Normal4"/>
        <w:numPr>
          <w:ilvl w:val="0"/>
          <w:numId w:val="4"/>
        </w:numPr>
        <w:spacing w:after="60" w:line="240" w:lineRule="auto"/>
        <w:ind w:left="851" w:hanging="294"/>
        <w:jc w:val="both"/>
      </w:pPr>
      <w:r>
        <w:t xml:space="preserve">El </w:t>
      </w:r>
      <w:proofErr w:type="spellStart"/>
      <w:r>
        <w:t>gasto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 de </w:t>
      </w:r>
      <w:proofErr w:type="spellStart"/>
      <w:r>
        <w:t>oficina</w:t>
      </w:r>
      <w:proofErr w:type="spellEnd"/>
      <w:r>
        <w:t xml:space="preserve"> no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15 % del </w:t>
      </w:r>
      <w:proofErr w:type="spellStart"/>
      <w:r>
        <w:t>presupuesto</w:t>
      </w:r>
      <w:proofErr w:type="spellEnd"/>
      <w:r>
        <w:t xml:space="preserve"> total </w:t>
      </w:r>
      <w:proofErr w:type="spellStart"/>
      <w:r>
        <w:t>solicitado</w:t>
      </w:r>
      <w:proofErr w:type="spellEnd"/>
      <w:r>
        <w:t>.</w:t>
      </w:r>
    </w:p>
    <w:p w14:paraId="662D5639" w14:textId="1D426469" w:rsidR="00A31F80" w:rsidRDefault="00000000">
      <w:pPr>
        <w:numPr>
          <w:ilvl w:val="0"/>
          <w:numId w:val="4"/>
        </w:numPr>
        <w:spacing w:after="0" w:line="240" w:lineRule="auto"/>
        <w:ind w:left="851" w:hanging="294"/>
        <w:jc w:val="both"/>
      </w:pPr>
      <w:r>
        <w:t xml:space="preserve">Si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contratar</w:t>
      </w:r>
      <w:proofErr w:type="spellEnd"/>
      <w:r>
        <w:t xml:space="preserve"> personal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comunidad</w:t>
      </w:r>
      <w:proofErr w:type="spellEnd"/>
      <w:r>
        <w:t xml:space="preserve"> para la </w:t>
      </w:r>
      <w:proofErr w:type="spellStart"/>
      <w:r>
        <w:t>prestación</w:t>
      </w:r>
      <w:proofErr w:type="spellEnd"/>
      <w:r>
        <w:t xml:space="preserve"> de </w:t>
      </w:r>
      <w:proofErr w:type="spellStart"/>
      <w:r>
        <w:t>servicios</w:t>
      </w:r>
      <w:proofErr w:type="spellEnd"/>
      <w:r>
        <w:t xml:space="preserve">,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incluirse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categoría</w:t>
      </w:r>
      <w:proofErr w:type="spellEnd"/>
      <w:r>
        <w:t xml:space="preserve"> de </w:t>
      </w:r>
      <w:proofErr w:type="spellStart"/>
      <w:r>
        <w:t>presupuesto</w:t>
      </w:r>
      <w:proofErr w:type="spellEnd"/>
      <w:r>
        <w:t xml:space="preserve"> de </w:t>
      </w:r>
      <w:proofErr w:type="spellStart"/>
      <w:r>
        <w:t>actividades</w:t>
      </w:r>
      <w:proofErr w:type="spellEnd"/>
      <w:r>
        <w:t xml:space="preserve">. La </w:t>
      </w: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de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limitarse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empleados</w:t>
      </w:r>
      <w:proofErr w:type="spellEnd"/>
      <w:r>
        <w:t xml:space="preserve"> de </w:t>
      </w:r>
      <w:proofErr w:type="spellStart"/>
      <w:r>
        <w:t>oficina</w:t>
      </w:r>
      <w:proofErr w:type="spellEnd"/>
      <w:r>
        <w:t xml:space="preserve">, </w:t>
      </w:r>
      <w:proofErr w:type="spellStart"/>
      <w:r>
        <w:t>supervisores</w:t>
      </w:r>
      <w:proofErr w:type="spellEnd"/>
      <w:r>
        <w:t xml:space="preserve">, </w:t>
      </w:r>
      <w:proofErr w:type="spellStart"/>
      <w:r>
        <w:t>gerentes</w:t>
      </w:r>
      <w:proofErr w:type="spellEnd"/>
      <w:r>
        <w:t xml:space="preserve"> y </w:t>
      </w:r>
      <w:proofErr w:type="spellStart"/>
      <w:r>
        <w:t>consultores</w:t>
      </w:r>
      <w:proofErr w:type="spellEnd"/>
      <w:r>
        <w:t>.</w:t>
      </w:r>
    </w:p>
    <w:p w14:paraId="13D7246A" w14:textId="5F63FC61" w:rsidR="00A31F80" w:rsidRDefault="00A31F80">
      <w:pPr>
        <w:spacing w:after="0" w:line="240" w:lineRule="auto"/>
        <w:ind w:left="851" w:hanging="294"/>
        <w:jc w:val="both"/>
      </w:pPr>
    </w:p>
    <w:p w14:paraId="05B7D0F5" w14:textId="45002E8A" w:rsidR="00A31F80" w:rsidRDefault="00000000">
      <w:pPr>
        <w:pStyle w:val="P68B1DB1-Normal3"/>
        <w:spacing w:after="0" w:line="240" w:lineRule="auto"/>
        <w:jc w:val="both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2 – </w:t>
      </w:r>
      <w:proofErr w:type="spellStart"/>
      <w:r>
        <w:t>Actividades</w:t>
      </w:r>
      <w:proofErr w:type="spellEnd"/>
    </w:p>
    <w:p w14:paraId="293861FC" w14:textId="0C60EDE3" w:rsidR="00A31F80" w:rsidRDefault="00000000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Esta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gastos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implementación</w:t>
      </w:r>
      <w:proofErr w:type="spellEnd"/>
      <w:r>
        <w:t xml:space="preserve"> de las </w:t>
      </w:r>
      <w:proofErr w:type="spellStart"/>
      <w:r>
        <w:t>actividades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 y </w:t>
      </w:r>
      <w:proofErr w:type="spellStart"/>
      <w:r>
        <w:t>debe</w:t>
      </w:r>
      <w:proofErr w:type="spellEnd"/>
      <w:r>
        <w:t xml:space="preserve"> ser </w:t>
      </w:r>
      <w:proofErr w:type="spellStart"/>
      <w:r>
        <w:t>el</w:t>
      </w:r>
      <w:proofErr w:type="spellEnd"/>
      <w:r>
        <w:t xml:space="preserve"> </w:t>
      </w:r>
      <w:proofErr w:type="spellStart"/>
      <w:r w:rsidR="00F767D5">
        <w:rPr>
          <w:lang w:val="en-US"/>
        </w:rPr>
        <w:t>monto</w:t>
      </w:r>
      <w:proofErr w:type="spellEnd"/>
      <w:r w:rsidR="00F767D5">
        <w:rPr>
          <w:lang w:val="en-US"/>
        </w:rPr>
        <w:t xml:space="preserve"> </w:t>
      </w:r>
      <w:r>
        <w:t xml:space="preserve">principal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intervención</w:t>
      </w:r>
      <w:proofErr w:type="spellEnd"/>
      <w:r>
        <w:t xml:space="preserve"> </w:t>
      </w:r>
      <w:proofErr w:type="spellStart"/>
      <w:r>
        <w:t>propuesta</w:t>
      </w:r>
      <w:proofErr w:type="spellEnd"/>
      <w:r>
        <w:t>.</w:t>
      </w:r>
    </w:p>
    <w:p w14:paraId="78FCBF68" w14:textId="1C898139" w:rsidR="00A31F80" w:rsidRDefault="00000000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El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terreno</w:t>
      </w:r>
      <w:proofErr w:type="spellEnd"/>
      <w:r>
        <w:t>/</w:t>
      </w:r>
      <w:proofErr w:type="spellStart"/>
      <w:r>
        <w:t>comunitario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incentivos</w:t>
      </w:r>
      <w:proofErr w:type="spellEnd"/>
      <w:r>
        <w:t xml:space="preserve">, las </w:t>
      </w:r>
      <w:proofErr w:type="spellStart"/>
      <w:r>
        <w:t>capacitaciones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acuerdos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subreceptores</w:t>
      </w:r>
      <w:proofErr w:type="spellEnd"/>
      <w:r>
        <w:t xml:space="preserve"> son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elegibles</w:t>
      </w:r>
      <w:proofErr w:type="spellEnd"/>
      <w:r>
        <w:t xml:space="preserve"> para la </w:t>
      </w:r>
      <w:proofErr w:type="spellStart"/>
      <w:r>
        <w:t>actividad</w:t>
      </w:r>
      <w:proofErr w:type="spellEnd"/>
      <w:r>
        <w:t>.</w:t>
      </w:r>
    </w:p>
    <w:p w14:paraId="0679855E" w14:textId="77DB266E" w:rsidR="00A31F80" w:rsidRDefault="00A31F80">
      <w:pPr>
        <w:spacing w:after="0" w:line="240" w:lineRule="auto"/>
        <w:jc w:val="both"/>
      </w:pPr>
    </w:p>
    <w:p w14:paraId="1F3E10B6" w14:textId="77777777" w:rsidR="00D67FCE" w:rsidRDefault="00D67FCE">
      <w:pPr>
        <w:pStyle w:val="P68B1DB1-Normal3"/>
        <w:spacing w:after="0" w:line="240" w:lineRule="auto"/>
        <w:jc w:val="both"/>
      </w:pPr>
    </w:p>
    <w:p w14:paraId="5A126406" w14:textId="45BDD917" w:rsidR="00A31F80" w:rsidRDefault="00000000">
      <w:pPr>
        <w:pStyle w:val="P68B1DB1-Normal3"/>
        <w:spacing w:after="0" w:line="240" w:lineRule="auto"/>
        <w:jc w:val="both"/>
      </w:pPr>
      <w:proofErr w:type="spellStart"/>
      <w:r>
        <w:lastRenderedPageBreak/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3 –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proofErr w:type="gramStart"/>
      <w:r>
        <w:t>proyecto</w:t>
      </w:r>
      <w:proofErr w:type="spellEnd"/>
      <w:proofErr w:type="gramEnd"/>
      <w:r>
        <w:t xml:space="preserve"> </w:t>
      </w:r>
    </w:p>
    <w:p w14:paraId="6302710C" w14:textId="4FFE027F" w:rsidR="00A31F80" w:rsidRDefault="00000000">
      <w:pPr>
        <w:numPr>
          <w:ilvl w:val="0"/>
          <w:numId w:val="4"/>
        </w:numPr>
        <w:spacing w:after="60" w:line="240" w:lineRule="auto"/>
        <w:ind w:left="851" w:hanging="294"/>
        <w:jc w:val="both"/>
      </w:pPr>
      <w:r>
        <w:t xml:space="preserve">Esta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gastos</w:t>
      </w:r>
      <w:proofErr w:type="spellEnd"/>
      <w:r>
        <w:t xml:space="preserve"> de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>.</w:t>
      </w:r>
    </w:p>
    <w:p w14:paraId="20CF6D57" w14:textId="2C27D312" w:rsidR="00A31F80" w:rsidRDefault="00000000">
      <w:pPr>
        <w:numPr>
          <w:ilvl w:val="0"/>
          <w:numId w:val="4"/>
        </w:numPr>
        <w:spacing w:after="60" w:line="240" w:lineRule="auto"/>
        <w:ind w:left="851" w:hanging="294"/>
        <w:jc w:val="both"/>
      </w:pPr>
      <w:proofErr w:type="spellStart"/>
      <w:r>
        <w:t>Aquí</w:t>
      </w:r>
      <w:proofErr w:type="spellEnd"/>
      <w:r>
        <w:t xml:space="preserve"> se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dos personas para que </w:t>
      </w:r>
      <w:proofErr w:type="spellStart"/>
      <w:r>
        <w:t>asistan</w:t>
      </w:r>
      <w:proofErr w:type="spellEnd"/>
      <w:r>
        <w:t xml:space="preserve"> al taller de </w:t>
      </w:r>
      <w:proofErr w:type="spellStart"/>
      <w:r w:rsidR="00D67FCE">
        <w:rPr>
          <w:lang w:val="en-US"/>
        </w:rPr>
        <w:t>Subvencionados</w:t>
      </w:r>
      <w:proofErr w:type="spellEnd"/>
      <w:r>
        <w:t xml:space="preserve"> de TB REACH.</w:t>
      </w:r>
    </w:p>
    <w:p w14:paraId="02FFB06C" w14:textId="6BEE323F" w:rsidR="00A31F80" w:rsidRDefault="00000000">
      <w:pPr>
        <w:numPr>
          <w:ilvl w:val="0"/>
          <w:numId w:val="4"/>
        </w:numPr>
        <w:spacing w:after="60" w:line="240" w:lineRule="auto"/>
        <w:ind w:left="851" w:hanging="294"/>
        <w:jc w:val="both"/>
      </w:pPr>
      <w:r>
        <w:t xml:space="preserve">Las </w:t>
      </w:r>
      <w:proofErr w:type="spellStart"/>
      <w:r>
        <w:t>fechas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la </w:t>
      </w:r>
      <w:proofErr w:type="spellStart"/>
      <w:r>
        <w:t>reunión</w:t>
      </w:r>
      <w:proofErr w:type="spellEnd"/>
      <w:r>
        <w:t xml:space="preserve"> </w:t>
      </w:r>
      <w:proofErr w:type="spellStart"/>
      <w:r>
        <w:t>aún</w:t>
      </w:r>
      <w:proofErr w:type="spellEnd"/>
      <w:r>
        <w:t xml:space="preserve"> no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determinado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utilice</w:t>
      </w:r>
      <w:proofErr w:type="spellEnd"/>
      <w:r>
        <w:t xml:space="preserve">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referencia</w:t>
      </w:r>
      <w:proofErr w:type="spellEnd"/>
      <w:r>
        <w:t xml:space="preserve"> </w:t>
      </w:r>
      <w:proofErr w:type="spellStart"/>
      <w:r w:rsidR="00D67FCE">
        <w:rPr>
          <w:lang w:val="en-US"/>
        </w:rPr>
        <w:t>estimar</w:t>
      </w:r>
      <w:proofErr w:type="spellEnd"/>
      <w:r w:rsidR="00D67FCE">
        <w:rPr>
          <w:lang w:val="en-US"/>
        </w:rPr>
        <w:t xml:space="preserve"> </w:t>
      </w:r>
      <w:r>
        <w:t xml:space="preserve">un </w:t>
      </w:r>
      <w:proofErr w:type="spellStart"/>
      <w:r>
        <w:t>presupuesto</w:t>
      </w:r>
      <w:proofErr w:type="spellEnd"/>
      <w:r>
        <w:t>:</w:t>
      </w:r>
    </w:p>
    <w:p w14:paraId="13F3E2E0" w14:textId="63FD86F2" w:rsidR="00A31F80" w:rsidRDefault="00000000">
      <w:pPr>
        <w:numPr>
          <w:ilvl w:val="1"/>
          <w:numId w:val="4"/>
        </w:numPr>
        <w:spacing w:after="60" w:line="240" w:lineRule="auto"/>
        <w:jc w:val="both"/>
      </w:pPr>
      <w:r>
        <w:t xml:space="preserve">Es </w:t>
      </w:r>
      <w:proofErr w:type="spellStart"/>
      <w:r>
        <w:t>muy</w:t>
      </w:r>
      <w:proofErr w:type="spellEnd"/>
      <w:r>
        <w:t xml:space="preserve"> probable que </w:t>
      </w:r>
      <w:proofErr w:type="spellStart"/>
      <w:r>
        <w:t>el</w:t>
      </w:r>
      <w:proofErr w:type="spellEnd"/>
      <w:r>
        <w:t xml:space="preserve"> taller de</w:t>
      </w:r>
      <w:r w:rsidR="00D67FCE">
        <w:rPr>
          <w:lang w:val="en-US"/>
        </w:rPr>
        <w:t xml:space="preserve"> </w:t>
      </w:r>
      <w:proofErr w:type="spellStart"/>
      <w:r w:rsidR="00D67FCE">
        <w:rPr>
          <w:lang w:val="en-US"/>
        </w:rPr>
        <w:t>Subvencionados</w:t>
      </w:r>
      <w:proofErr w:type="spellEnd"/>
      <w:r w:rsidR="00D67FCE">
        <w:rPr>
          <w:lang w:val="en-US"/>
        </w:rPr>
        <w:t xml:space="preserve"> </w:t>
      </w:r>
      <w:r>
        <w:t xml:space="preserve">de TB REACH se </w:t>
      </w:r>
      <w:proofErr w:type="spellStart"/>
      <w:r>
        <w:t>lleve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África (</w:t>
      </w:r>
      <w:proofErr w:type="spellStart"/>
      <w:r>
        <w:t>potencialmente</w:t>
      </w:r>
      <w:proofErr w:type="spellEnd"/>
      <w:r>
        <w:t xml:space="preserve"> Nairobi) poco </w:t>
      </w:r>
      <w:proofErr w:type="spellStart"/>
      <w:r>
        <w:t>después</w:t>
      </w:r>
      <w:proofErr w:type="spellEnd"/>
      <w:r>
        <w:t xml:space="preserve"> de que se </w:t>
      </w:r>
      <w:proofErr w:type="spellStart"/>
      <w:r>
        <w:t>conceda</w:t>
      </w:r>
      <w:proofErr w:type="spellEnd"/>
      <w:r>
        <w:t xml:space="preserve"> la </w:t>
      </w:r>
      <w:proofErr w:type="spellStart"/>
      <w:r>
        <w:t>subvención</w:t>
      </w:r>
      <w:proofErr w:type="spellEnd"/>
      <w:r>
        <w:t xml:space="preserve">. Se </w:t>
      </w:r>
      <w:proofErr w:type="spellStart"/>
      <w:r>
        <w:t>llevará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4-5 días, y se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presupuestar</w:t>
      </w:r>
      <w:proofErr w:type="spellEnd"/>
      <w:r>
        <w:t xml:space="preserve"> 2 personas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seleccionado</w:t>
      </w:r>
      <w:proofErr w:type="spellEnd"/>
      <w:r>
        <w:t xml:space="preserve"> para </w:t>
      </w:r>
      <w:proofErr w:type="spellStart"/>
      <w:r>
        <w:t>viajar</w:t>
      </w:r>
      <w:proofErr w:type="spellEnd"/>
      <w:r>
        <w:t>.</w:t>
      </w:r>
    </w:p>
    <w:p w14:paraId="42EEABC1" w14:textId="51ACB1ED" w:rsidR="00A31F80" w:rsidRDefault="00000000">
      <w:pPr>
        <w:numPr>
          <w:ilvl w:val="1"/>
          <w:numId w:val="4"/>
        </w:numPr>
        <w:spacing w:after="60" w:line="240" w:lineRule="auto"/>
        <w:jc w:val="both"/>
      </w:pPr>
      <w:proofErr w:type="spellStart"/>
      <w:r>
        <w:t>Asigne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pasajes</w:t>
      </w:r>
      <w:proofErr w:type="spellEnd"/>
      <w:r>
        <w:t xml:space="preserve"> </w:t>
      </w:r>
      <w:proofErr w:type="spellStart"/>
      <w:r>
        <w:t>aéreos</w:t>
      </w:r>
      <w:proofErr w:type="spellEnd"/>
      <w:r>
        <w:t xml:space="preserve">, las </w:t>
      </w:r>
      <w:proofErr w:type="spellStart"/>
      <w:r>
        <w:t>dietas</w:t>
      </w:r>
      <w:proofErr w:type="spellEnd"/>
      <w:r>
        <w:t xml:space="preserve"> (6 </w:t>
      </w:r>
      <w:proofErr w:type="spellStart"/>
      <w:r>
        <w:t>noches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total)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visados</w:t>
      </w:r>
      <w:proofErr w:type="spellEnd"/>
      <w:r>
        <w:t xml:space="preserve">. </w:t>
      </w:r>
    </w:p>
    <w:p w14:paraId="0BBEFAAA" w14:textId="77777777" w:rsidR="00A31F80" w:rsidRDefault="00A31F80">
      <w:pPr>
        <w:spacing w:after="0" w:line="240" w:lineRule="auto"/>
        <w:jc w:val="both"/>
        <w:rPr>
          <w:b/>
        </w:rPr>
      </w:pPr>
    </w:p>
    <w:p w14:paraId="1F69A0B8" w14:textId="4E9DDA01" w:rsidR="00A31F80" w:rsidRDefault="00000000">
      <w:pPr>
        <w:spacing w:after="0" w:line="240" w:lineRule="auto"/>
        <w:jc w:val="both"/>
        <w:rPr>
          <w:u w:val="single"/>
        </w:rPr>
      </w:pPr>
      <w:proofErr w:type="spellStart"/>
      <w:r>
        <w:rPr>
          <w:u w:val="single"/>
        </w:rPr>
        <w:t>Categoría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presupuestaria</w:t>
      </w:r>
      <w:proofErr w:type="spellEnd"/>
      <w:r>
        <w:rPr>
          <w:u w:val="single"/>
        </w:rPr>
        <w:t xml:space="preserve"> 4 – </w:t>
      </w:r>
      <w:proofErr w:type="spellStart"/>
      <w:r>
        <w:rPr>
          <w:u w:val="single"/>
        </w:rPr>
        <w:t>Fondos</w:t>
      </w:r>
      <w:proofErr w:type="spellEnd"/>
      <w:r>
        <w:rPr>
          <w:u w:val="single"/>
        </w:rPr>
        <w:t xml:space="preserve"> de </w:t>
      </w:r>
      <w:proofErr w:type="spellStart"/>
      <w:r>
        <w:rPr>
          <w:u w:val="single"/>
        </w:rPr>
        <w:t>adquisiciones</w:t>
      </w:r>
      <w:proofErr w:type="spellEnd"/>
      <w:r>
        <w:rPr>
          <w:u w:val="single"/>
        </w:rPr>
        <w:t xml:space="preserve"> </w:t>
      </w:r>
      <w:proofErr w:type="spellStart"/>
      <w:r w:rsidR="00D67FCE">
        <w:rPr>
          <w:u w:val="single"/>
          <w:lang w:val="en-US"/>
        </w:rPr>
        <w:t>directo</w:t>
      </w:r>
      <w:proofErr w:type="spellEnd"/>
      <w:r w:rsidR="00D67FCE">
        <w:rPr>
          <w:u w:val="single"/>
          <w:lang w:val="en-US"/>
        </w:rPr>
        <w:t xml:space="preserve">, </w:t>
      </w:r>
      <w:proofErr w:type="spellStart"/>
      <w:r>
        <w:rPr>
          <w:u w:val="single"/>
        </w:rPr>
        <w:t>retenidos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en</w:t>
      </w:r>
      <w:proofErr w:type="spellEnd"/>
      <w:r>
        <w:rPr>
          <w:u w:val="single"/>
        </w:rPr>
        <w:t xml:space="preserve"> la </w:t>
      </w:r>
      <w:proofErr w:type="spellStart"/>
      <w:r>
        <w:rPr>
          <w:u w:val="single"/>
        </w:rPr>
        <w:t>fuente</w:t>
      </w:r>
      <w:proofErr w:type="spellEnd"/>
      <w:r>
        <w:rPr>
          <w:u w:val="single"/>
        </w:rPr>
        <w:t xml:space="preserve"> para </w:t>
      </w:r>
      <w:proofErr w:type="spellStart"/>
      <w:r w:rsidRPr="00D67FCE">
        <w:rPr>
          <w:u w:val="single"/>
        </w:rPr>
        <w:t>el</w:t>
      </w:r>
      <w:proofErr w:type="spellEnd"/>
      <w:r w:rsidRPr="00D67FCE">
        <w:rPr>
          <w:u w:val="single"/>
        </w:rPr>
        <w:t xml:space="preserve"> </w:t>
      </w:r>
      <w:r w:rsidR="00D67FCE" w:rsidRPr="00D67FCE">
        <w:rPr>
          <w:u w:val="single"/>
          <w:lang w:val="en-US"/>
        </w:rPr>
        <w:t xml:space="preserve">Global Drug Facility </w:t>
      </w:r>
      <w:r w:rsidRPr="00D67FCE">
        <w:rPr>
          <w:u w:val="single"/>
        </w:rPr>
        <w:t xml:space="preserve">(GDF, </w:t>
      </w:r>
      <w:proofErr w:type="spellStart"/>
      <w:r w:rsidRPr="00D67FCE">
        <w:rPr>
          <w:u w:val="single"/>
        </w:rPr>
        <w:t>por</w:t>
      </w:r>
      <w:proofErr w:type="spellEnd"/>
      <w:r w:rsidRPr="00D67FCE">
        <w:rPr>
          <w:u w:val="single"/>
        </w:rPr>
        <w:t xml:space="preserve"> sus </w:t>
      </w:r>
      <w:proofErr w:type="spellStart"/>
      <w:r w:rsidRPr="00D67FCE">
        <w:rPr>
          <w:u w:val="single"/>
        </w:rPr>
        <w:t>siglas</w:t>
      </w:r>
      <w:proofErr w:type="spellEnd"/>
      <w:r w:rsidRPr="00D67FCE">
        <w:rPr>
          <w:u w:val="single"/>
        </w:rPr>
        <w:t xml:space="preserve"> </w:t>
      </w:r>
      <w:proofErr w:type="spellStart"/>
      <w:r w:rsidRPr="00D67FCE">
        <w:rPr>
          <w:u w:val="single"/>
        </w:rPr>
        <w:t>en</w:t>
      </w:r>
      <w:proofErr w:type="spellEnd"/>
      <w:r w:rsidRPr="00D67FCE">
        <w:rPr>
          <w:u w:val="single"/>
        </w:rPr>
        <w:t xml:space="preserve"> </w:t>
      </w:r>
      <w:proofErr w:type="spellStart"/>
      <w:r w:rsidRPr="00D67FCE">
        <w:rPr>
          <w:u w:val="single"/>
        </w:rPr>
        <w:t>inglés</w:t>
      </w:r>
      <w:proofErr w:type="spellEnd"/>
      <w:r w:rsidRPr="00D67FCE">
        <w:rPr>
          <w:u w:val="single"/>
        </w:rPr>
        <w:t>) (</w:t>
      </w:r>
      <w:r>
        <w:rPr>
          <w:u w:val="single"/>
        </w:rPr>
        <w:t xml:space="preserve">es </w:t>
      </w:r>
      <w:proofErr w:type="spellStart"/>
      <w:r>
        <w:rPr>
          <w:u w:val="single"/>
        </w:rPr>
        <w:t>decir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pruebas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moleculares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rápidas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pruebas</w:t>
      </w:r>
      <w:proofErr w:type="spellEnd"/>
      <w:r>
        <w:rPr>
          <w:u w:val="single"/>
        </w:rPr>
        <w:t xml:space="preserve"> de </w:t>
      </w:r>
      <w:proofErr w:type="spellStart"/>
      <w:r>
        <w:rPr>
          <w:u w:val="single"/>
        </w:rPr>
        <w:t>infección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por</w:t>
      </w:r>
      <w:proofErr w:type="spellEnd"/>
      <w:r>
        <w:rPr>
          <w:u w:val="single"/>
        </w:rPr>
        <w:t xml:space="preserve"> tuberculosis, </w:t>
      </w:r>
      <w:proofErr w:type="spellStart"/>
      <w:r>
        <w:rPr>
          <w:u w:val="single"/>
        </w:rPr>
        <w:t>equipo</w:t>
      </w:r>
      <w:proofErr w:type="spellEnd"/>
      <w:r>
        <w:rPr>
          <w:u w:val="single"/>
        </w:rPr>
        <w:t xml:space="preserve"> de </w:t>
      </w:r>
      <w:proofErr w:type="spellStart"/>
      <w:r>
        <w:rPr>
          <w:u w:val="single"/>
        </w:rPr>
        <w:t>rayos</w:t>
      </w:r>
      <w:proofErr w:type="spellEnd"/>
      <w:r>
        <w:rPr>
          <w:u w:val="single"/>
        </w:rPr>
        <w:t xml:space="preserve"> X) *</w:t>
      </w:r>
    </w:p>
    <w:p w14:paraId="26121A93" w14:textId="37FD9FE9" w:rsidR="00A31F80" w:rsidRDefault="00000000">
      <w:pPr>
        <w:jc w:val="both"/>
      </w:pPr>
      <w:r>
        <w:t xml:space="preserve">Si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solicitantes</w:t>
      </w:r>
      <w:proofErr w:type="spellEnd"/>
      <w:r>
        <w:t xml:space="preserve"> NO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adquisición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 de </w:t>
      </w:r>
      <w:proofErr w:type="spellStart"/>
      <w:r>
        <w:t>diagnóstico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GDF, TB REACH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adquirirlos</w:t>
      </w:r>
      <w:proofErr w:type="spellEnd"/>
      <w:r>
        <w:t xml:space="preserve"> de forma </w:t>
      </w:r>
      <w:proofErr w:type="spellStart"/>
      <w:r>
        <w:t>centralizada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GDF. TB REACH </w:t>
      </w:r>
      <w:proofErr w:type="spellStart"/>
      <w:r>
        <w:t>retendrá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fondos</w:t>
      </w:r>
      <w:proofErr w:type="spellEnd"/>
      <w:r>
        <w:t xml:space="preserve"> </w:t>
      </w:r>
      <w:proofErr w:type="spellStart"/>
      <w:r>
        <w:t>indicada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categoría</w:t>
      </w:r>
      <w:proofErr w:type="spellEnd"/>
      <w:r>
        <w:t xml:space="preserve"> 4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fuente</w:t>
      </w:r>
      <w:proofErr w:type="spellEnd"/>
      <w:r>
        <w:t xml:space="preserve"> y </w:t>
      </w:r>
      <w:proofErr w:type="spellStart"/>
      <w:r>
        <w:t>realizará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pagos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proveedores</w:t>
      </w:r>
      <w:proofErr w:type="spellEnd"/>
      <w:r>
        <w:t>.</w:t>
      </w:r>
    </w:p>
    <w:p w14:paraId="3A7555E9" w14:textId="17EC7F18" w:rsidR="00A31F80" w:rsidRDefault="00000000">
      <w:pPr>
        <w:jc w:val="both"/>
      </w:pPr>
      <w:proofErr w:type="spellStart"/>
      <w:r>
        <w:t>Además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productos</w:t>
      </w:r>
      <w:proofErr w:type="spellEnd"/>
      <w:r>
        <w:t xml:space="preserve"> GeneXpert (</w:t>
      </w:r>
      <w:proofErr w:type="spellStart"/>
      <w:r>
        <w:t>sistemas</w:t>
      </w:r>
      <w:proofErr w:type="spellEnd"/>
      <w:r>
        <w:t xml:space="preserve"> GeneXpert, </w:t>
      </w:r>
      <w:proofErr w:type="spellStart"/>
      <w:r>
        <w:t>incluida</w:t>
      </w:r>
      <w:proofErr w:type="spellEnd"/>
      <w:r>
        <w:t xml:space="preserve"> la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tecnología</w:t>
      </w:r>
      <w:proofErr w:type="spellEnd"/>
      <w:r>
        <w:t xml:space="preserve"> de 10 </w:t>
      </w:r>
      <w:proofErr w:type="spellStart"/>
      <w:r>
        <w:t>colores</w:t>
      </w:r>
      <w:proofErr w:type="spellEnd"/>
      <w:r>
        <w:t xml:space="preserve">, </w:t>
      </w:r>
      <w:proofErr w:type="spellStart"/>
      <w:r>
        <w:t>Xpert</w:t>
      </w:r>
      <w:proofErr w:type="spellEnd"/>
      <w:r>
        <w:t xml:space="preserve"> MTB/RIF, </w:t>
      </w:r>
      <w:proofErr w:type="spellStart"/>
      <w:r>
        <w:rPr>
          <w:color w:val="000000" w:themeColor="text1"/>
        </w:rPr>
        <w:t>cartuchos</w:t>
      </w:r>
      <w:proofErr w:type="spellEnd"/>
      <w:r>
        <w:rPr>
          <w:color w:val="000000" w:themeColor="text1"/>
        </w:rPr>
        <w:t xml:space="preserve"> MTB/XDR</w:t>
      </w:r>
      <w:r>
        <w:t xml:space="preserve"> o </w:t>
      </w:r>
      <w:proofErr w:type="spellStart"/>
      <w:r>
        <w:t>cartuchos</w:t>
      </w:r>
      <w:proofErr w:type="spellEnd"/>
      <w:r>
        <w:t xml:space="preserve"> MTB/RIF Ultra, kits de </w:t>
      </w:r>
      <w:proofErr w:type="spellStart"/>
      <w:r>
        <w:t>calibración</w:t>
      </w:r>
      <w:proofErr w:type="spellEnd"/>
      <w:r>
        <w:t xml:space="preserve"> y </w:t>
      </w:r>
      <w:proofErr w:type="spellStart"/>
      <w:r>
        <w:t>garantías</w:t>
      </w:r>
      <w:proofErr w:type="spellEnd"/>
      <w:r>
        <w:t xml:space="preserve">), TB REACH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facilitar</w:t>
      </w:r>
      <w:proofErr w:type="spellEnd"/>
      <w:r>
        <w:t xml:space="preserve"> </w:t>
      </w:r>
      <w:proofErr w:type="spellStart"/>
      <w:r>
        <w:t>potencialmente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pedidos</w:t>
      </w:r>
      <w:proofErr w:type="spellEnd"/>
      <w:r>
        <w:t xml:space="preserve"> de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diagnóstico</w:t>
      </w:r>
      <w:proofErr w:type="spellEnd"/>
      <w:r>
        <w:t xml:space="preserve"> o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detección</w:t>
      </w:r>
      <w:proofErr w:type="spellEnd"/>
      <w:r>
        <w:t xml:space="preserve"> que se </w:t>
      </w:r>
      <w:proofErr w:type="spellStart"/>
      <w:r>
        <w:t>encuentran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catálogo</w:t>
      </w:r>
      <w:proofErr w:type="spellEnd"/>
      <w:r>
        <w:t xml:space="preserve"> de GDF. </w:t>
      </w:r>
    </w:p>
    <w:p w14:paraId="7715BDAA" w14:textId="5AB3FE87" w:rsidR="00A31F80" w:rsidRDefault="00000000">
      <w:pPr>
        <w:pStyle w:val="ListParagraph"/>
        <w:numPr>
          <w:ilvl w:val="0"/>
          <w:numId w:val="4"/>
        </w:numPr>
        <w:spacing w:after="60" w:line="240" w:lineRule="auto"/>
        <w:ind w:left="1068"/>
        <w:jc w:val="both"/>
      </w:pPr>
      <w:proofErr w:type="spellStart"/>
      <w:r>
        <w:t>Consulte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hyperlink r:id="rId11">
        <w:proofErr w:type="spellStart"/>
        <w:r>
          <w:rPr>
            <w:rStyle w:val="Hyperlink"/>
          </w:rPr>
          <w:t>catálogo</w:t>
        </w:r>
        <w:proofErr w:type="spellEnd"/>
      </w:hyperlink>
      <w:r>
        <w:t xml:space="preserve"> de </w:t>
      </w:r>
      <w:proofErr w:type="spellStart"/>
      <w:r>
        <w:t>diagnósticos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de GDF para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y </w:t>
      </w:r>
      <w:proofErr w:type="spellStart"/>
      <w:r>
        <w:t>asegúrese</w:t>
      </w:r>
      <w:proofErr w:type="spellEnd"/>
      <w:r>
        <w:t xml:space="preserve"> de que se </w:t>
      </w:r>
      <w:proofErr w:type="spellStart"/>
      <w:r>
        <w:t>incluyan</w:t>
      </w:r>
      <w:proofErr w:type="spellEnd"/>
      <w:r>
        <w:t xml:space="preserve"> </w:t>
      </w:r>
      <w:proofErr w:type="spellStart"/>
      <w:r>
        <w:t>suficientes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de </w:t>
      </w:r>
      <w:proofErr w:type="spellStart"/>
      <w:r>
        <w:t>envío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estimaciones</w:t>
      </w:r>
      <w:proofErr w:type="spellEnd"/>
      <w:r>
        <w:t xml:space="preserve"> de </w:t>
      </w:r>
      <w:proofErr w:type="spellStart"/>
      <w:r>
        <w:t>costos</w:t>
      </w:r>
      <w:proofErr w:type="spellEnd"/>
      <w:r>
        <w:t>.</w:t>
      </w:r>
    </w:p>
    <w:p w14:paraId="0DA9337F" w14:textId="52E09EB8" w:rsidR="00A31F80" w:rsidRDefault="00000000">
      <w:pPr>
        <w:pStyle w:val="ListParagraph"/>
        <w:numPr>
          <w:ilvl w:val="0"/>
          <w:numId w:val="4"/>
        </w:numPr>
        <w:spacing w:after="60" w:line="240" w:lineRule="auto"/>
        <w:ind w:left="1068"/>
        <w:jc w:val="both"/>
      </w:pPr>
      <w:r>
        <w:t xml:space="preserve">El incoterm </w:t>
      </w:r>
      <w:proofErr w:type="spellStart"/>
      <w:r>
        <w:t>predeterminado</w:t>
      </w:r>
      <w:proofErr w:type="spellEnd"/>
      <w:r>
        <w:t xml:space="preserve"> del </w:t>
      </w:r>
      <w:proofErr w:type="spellStart"/>
      <w:r>
        <w:t>pedido</w:t>
      </w:r>
      <w:proofErr w:type="spellEnd"/>
      <w:r>
        <w:t xml:space="preserve"> de TB REACH es CIP y,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,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costos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relacionados</w:t>
      </w:r>
      <w:proofErr w:type="spellEnd"/>
      <w:r>
        <w:rPr>
          <w:b/>
        </w:rPr>
        <w:t xml:space="preserve"> con la </w:t>
      </w:r>
      <w:proofErr w:type="spellStart"/>
      <w:r>
        <w:rPr>
          <w:b/>
        </w:rPr>
        <w:t>importación</w:t>
      </w:r>
      <w:proofErr w:type="spellEnd"/>
      <w:r>
        <w:rPr>
          <w:b/>
        </w:rPr>
        <w:t xml:space="preserve">, las </w:t>
      </w:r>
      <w:proofErr w:type="spellStart"/>
      <w:r>
        <w:rPr>
          <w:b/>
        </w:rPr>
        <w:t>aduanas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transporte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nacional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equipos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suministros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deben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enumerarse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además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costos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producto</w:t>
      </w:r>
      <w:proofErr w:type="spellEnd"/>
      <w:r>
        <w:rPr>
          <w:b/>
        </w:rPr>
        <w:t xml:space="preserve"> y del </w:t>
      </w:r>
      <w:proofErr w:type="spellStart"/>
      <w:r>
        <w:rPr>
          <w:b/>
        </w:rPr>
        <w:t>envío</w:t>
      </w:r>
      <w:proofErr w:type="spellEnd"/>
      <w:r>
        <w:rPr>
          <w:b/>
        </w:rPr>
        <w:t xml:space="preserve">. </w:t>
      </w:r>
      <w:r>
        <w:t xml:space="preserve"> </w:t>
      </w:r>
    </w:p>
    <w:p w14:paraId="70270DFF" w14:textId="29541EAF" w:rsidR="00A31F80" w:rsidRDefault="00A31F80">
      <w:pPr>
        <w:pStyle w:val="ListParagraph"/>
        <w:spacing w:after="60" w:line="240" w:lineRule="auto"/>
        <w:jc w:val="both"/>
      </w:pPr>
    </w:p>
    <w:p w14:paraId="740307AB" w14:textId="2A51F368" w:rsidR="00A31F80" w:rsidRDefault="00000000">
      <w:pPr>
        <w:pStyle w:val="P68B1DB1-Normal3"/>
        <w:spacing w:after="60" w:line="240" w:lineRule="auto"/>
        <w:jc w:val="both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5 – </w:t>
      </w:r>
      <w:proofErr w:type="spellStart"/>
      <w:r>
        <w:t>Adquisición</w:t>
      </w:r>
      <w:proofErr w:type="spellEnd"/>
      <w:r>
        <w:t xml:space="preserve"> de </w:t>
      </w:r>
      <w:proofErr w:type="spellStart"/>
      <w:r>
        <w:t>artículos</w:t>
      </w:r>
      <w:proofErr w:type="spellEnd"/>
      <w:r>
        <w:t xml:space="preserve"> </w:t>
      </w:r>
      <w:proofErr w:type="spellStart"/>
      <w:r>
        <w:t>médicos</w:t>
      </w:r>
      <w:proofErr w:type="spellEnd"/>
      <w:r>
        <w:t xml:space="preserve"> (</w:t>
      </w:r>
      <w:proofErr w:type="spellStart"/>
      <w:r>
        <w:t>excluyendo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t xml:space="preserve"> de la </w:t>
      </w:r>
      <w:proofErr w:type="spellStart"/>
      <w:r>
        <w:t>Categoría</w:t>
      </w:r>
      <w:proofErr w:type="spellEnd"/>
      <w:r>
        <w:t xml:space="preserve"> 4) *</w:t>
      </w:r>
    </w:p>
    <w:p w14:paraId="525A1AEF" w14:textId="67D818DC" w:rsidR="00A31F80" w:rsidRDefault="00000000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b/>
        </w:rPr>
      </w:pPr>
      <w:r>
        <w:t xml:space="preserve">Los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médicos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gasto</w:t>
      </w:r>
      <w:proofErr w:type="spellEnd"/>
      <w:r>
        <w:t xml:space="preserve"> </w:t>
      </w:r>
      <w:proofErr w:type="spellStart"/>
      <w:r>
        <w:t>relacionado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suministros</w:t>
      </w:r>
      <w:proofErr w:type="spellEnd"/>
      <w:r>
        <w:t xml:space="preserve"> </w:t>
      </w:r>
      <w:proofErr w:type="spellStart"/>
      <w:r>
        <w:t>médicos</w:t>
      </w:r>
      <w:proofErr w:type="spellEnd"/>
      <w:r>
        <w:t>.</w:t>
      </w:r>
    </w:p>
    <w:p w14:paraId="052B6405" w14:textId="6831AC6B" w:rsidR="00A31F80" w:rsidRDefault="00000000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b/>
        </w:rPr>
      </w:pPr>
      <w:r>
        <w:t xml:space="preserve">Deben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importación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despachos</w:t>
      </w:r>
      <w:proofErr w:type="spellEnd"/>
      <w:r>
        <w:t xml:space="preserve"> de </w:t>
      </w:r>
      <w:proofErr w:type="spellStart"/>
      <w:r>
        <w:t>aduanas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envío</w:t>
      </w:r>
      <w:proofErr w:type="spellEnd"/>
      <w:r>
        <w:t xml:space="preserve"> de </w:t>
      </w:r>
      <w:proofErr w:type="spellStart"/>
      <w:r>
        <w:t>equipos</w:t>
      </w:r>
      <w:proofErr w:type="spellEnd"/>
      <w:r>
        <w:t xml:space="preserve"> </w:t>
      </w:r>
      <w:proofErr w:type="spellStart"/>
      <w:r>
        <w:t>médicos</w:t>
      </w:r>
      <w:proofErr w:type="spellEnd"/>
      <w:r>
        <w:t xml:space="preserve"> y </w:t>
      </w:r>
      <w:proofErr w:type="spellStart"/>
      <w:r>
        <w:t>suministros</w:t>
      </w:r>
      <w:proofErr w:type="spellEnd"/>
      <w:r>
        <w:t>.</w:t>
      </w:r>
    </w:p>
    <w:p w14:paraId="089F1BCC" w14:textId="76851102" w:rsidR="00A31F80" w:rsidRDefault="00000000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b/>
        </w:rPr>
      </w:pPr>
      <w:proofErr w:type="spellStart"/>
      <w:r>
        <w:t>Tenga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 que </w:t>
      </w:r>
      <w:r>
        <w:rPr>
          <w:b/>
        </w:rPr>
        <w:t xml:space="preserve">la </w:t>
      </w:r>
      <w:proofErr w:type="spellStart"/>
      <w:r>
        <w:rPr>
          <w:b/>
        </w:rPr>
        <w:t>financiación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subvención</w:t>
      </w:r>
      <w:proofErr w:type="spellEnd"/>
      <w:r>
        <w:rPr>
          <w:b/>
        </w:rPr>
        <w:t xml:space="preserve"> TB REACH no </w:t>
      </w:r>
      <w:proofErr w:type="spellStart"/>
      <w:r>
        <w:rPr>
          <w:b/>
        </w:rPr>
        <w:t>debe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utilizarse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el</w:t>
      </w:r>
      <w:proofErr w:type="spellEnd"/>
      <w:r>
        <w:rPr>
          <w:b/>
        </w:rPr>
        <w:t xml:space="preserve"> </w:t>
      </w:r>
      <w:proofErr w:type="spellStart"/>
      <w:r>
        <w:rPr>
          <w:rStyle w:val="findhit"/>
          <w:rFonts w:ascii="Calibri" w:hAnsi="Calibri" w:cs="Calibri"/>
          <w:b/>
          <w:color w:val="000000"/>
        </w:rPr>
        <w:t>diagnóstico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o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el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apoyo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al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tratamiento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otras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afecciones</w:t>
      </w:r>
      <w:proofErr w:type="spellEnd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salud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y se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alienta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solicitantes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buscar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co</w:t>
      </w:r>
      <w:r w:rsidR="0081678E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-</w:t>
      </w:r>
      <w:proofErr w:type="spellStart"/>
      <w:r w:rsidR="0081678E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financiamiento</w:t>
      </w:r>
      <w:proofErr w:type="spellEnd"/>
      <w:r w:rsidR="0081678E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de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otros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socios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participen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las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actividades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prestación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servicios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integrados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2A574011" w14:textId="77777777" w:rsidR="00A31F80" w:rsidRDefault="00A31F80">
      <w:pPr>
        <w:pStyle w:val="ListParagraph"/>
        <w:spacing w:after="60" w:line="240" w:lineRule="auto"/>
        <w:jc w:val="both"/>
        <w:rPr>
          <w:b/>
        </w:rPr>
      </w:pPr>
    </w:p>
    <w:p w14:paraId="4733CBE1" w14:textId="45101BF1" w:rsidR="00A31F80" w:rsidRDefault="00000000">
      <w:pPr>
        <w:pStyle w:val="P68B1DB1-Normal3"/>
        <w:spacing w:after="60" w:line="240" w:lineRule="auto"/>
        <w:jc w:val="both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6 – </w:t>
      </w:r>
      <w:proofErr w:type="spellStart"/>
      <w:r>
        <w:t>Adquisición</w:t>
      </w:r>
      <w:proofErr w:type="spellEnd"/>
      <w:r>
        <w:t xml:space="preserve"> de </w:t>
      </w:r>
      <w:proofErr w:type="spellStart"/>
      <w:r>
        <w:t>artículos</w:t>
      </w:r>
      <w:proofErr w:type="spellEnd"/>
      <w:r>
        <w:t xml:space="preserve"> no </w:t>
      </w:r>
      <w:proofErr w:type="spellStart"/>
      <w:r>
        <w:t>médicos</w:t>
      </w:r>
      <w:proofErr w:type="spellEnd"/>
      <w:r>
        <w:t xml:space="preserve"> *</w:t>
      </w:r>
    </w:p>
    <w:p w14:paraId="0FD4036F" w14:textId="69EA6579" w:rsidR="00A31F80" w:rsidRDefault="00000000">
      <w:pPr>
        <w:pStyle w:val="ListParagraph"/>
        <w:numPr>
          <w:ilvl w:val="0"/>
          <w:numId w:val="4"/>
        </w:numPr>
        <w:spacing w:after="60" w:line="240" w:lineRule="auto"/>
        <w:jc w:val="both"/>
      </w:pPr>
      <w:r>
        <w:t xml:space="preserve">La </w:t>
      </w:r>
      <w:proofErr w:type="spellStart"/>
      <w:r>
        <w:t>adquisición</w:t>
      </w:r>
      <w:proofErr w:type="spellEnd"/>
      <w:r>
        <w:t xml:space="preserve"> de </w:t>
      </w:r>
      <w:proofErr w:type="spellStart"/>
      <w:r>
        <w:t>artículos</w:t>
      </w:r>
      <w:proofErr w:type="spellEnd"/>
      <w:r>
        <w:t xml:space="preserve"> no </w:t>
      </w:r>
      <w:proofErr w:type="spellStart"/>
      <w:r>
        <w:t>médicos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gasto</w:t>
      </w:r>
      <w:proofErr w:type="spellEnd"/>
      <w:r>
        <w:t xml:space="preserve"> que no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relacionado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</w:t>
      </w:r>
      <w:proofErr w:type="spellStart"/>
      <w:r>
        <w:t>médico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ordenadores</w:t>
      </w:r>
      <w:proofErr w:type="spellEnd"/>
      <w:r>
        <w:t xml:space="preserve">, </w:t>
      </w:r>
      <w:proofErr w:type="spellStart"/>
      <w:r>
        <w:t>teléfonos</w:t>
      </w:r>
      <w:proofErr w:type="spellEnd"/>
      <w:r>
        <w:t xml:space="preserve"> </w:t>
      </w:r>
      <w:proofErr w:type="spellStart"/>
      <w:r>
        <w:t>móviles</w:t>
      </w:r>
      <w:proofErr w:type="spellEnd"/>
      <w:r>
        <w:t xml:space="preserve">, tablets, etc.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gastos</w:t>
      </w:r>
      <w:proofErr w:type="spellEnd"/>
      <w:r>
        <w:t xml:space="preserve"> no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asignarse</w:t>
      </w:r>
      <w:proofErr w:type="spellEnd"/>
      <w:r>
        <w:t xml:space="preserve"> a la </w:t>
      </w: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«</w:t>
      </w:r>
      <w:proofErr w:type="spellStart"/>
      <w:r>
        <w:t>Actividades</w:t>
      </w:r>
      <w:proofErr w:type="spellEnd"/>
      <w:r>
        <w:t>» o «TI/</w:t>
      </w:r>
      <w:proofErr w:type="spellStart"/>
      <w:r>
        <w:t>Comunicación</w:t>
      </w:r>
      <w:proofErr w:type="spellEnd"/>
      <w:r>
        <w:t>».</w:t>
      </w:r>
    </w:p>
    <w:p w14:paraId="4190AC39" w14:textId="59DBA027" w:rsidR="00A31F80" w:rsidRDefault="00000000">
      <w:pPr>
        <w:pStyle w:val="P68B1DB1-ListParagraph5"/>
        <w:numPr>
          <w:ilvl w:val="0"/>
          <w:numId w:val="4"/>
        </w:numPr>
        <w:spacing w:after="60" w:line="240" w:lineRule="auto"/>
        <w:jc w:val="both"/>
      </w:pPr>
      <w:proofErr w:type="spellStart"/>
      <w:r>
        <w:t>Incluya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costo</w:t>
      </w:r>
      <w:proofErr w:type="spellEnd"/>
      <w:r>
        <w:t xml:space="preserve"> </w:t>
      </w:r>
      <w:proofErr w:type="spellStart"/>
      <w:r>
        <w:t>incluyendo</w:t>
      </w:r>
      <w:proofErr w:type="spellEnd"/>
      <w:r>
        <w:t xml:space="preserve"> la </w:t>
      </w:r>
      <w:proofErr w:type="spellStart"/>
      <w:r>
        <w:t>importación</w:t>
      </w:r>
      <w:proofErr w:type="spellEnd"/>
      <w:r>
        <w:t xml:space="preserve">, las </w:t>
      </w:r>
      <w:proofErr w:type="spellStart"/>
      <w:r>
        <w:t>aduanas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 </w:t>
      </w:r>
      <w:proofErr w:type="spellStart"/>
      <w:r>
        <w:t>dichos</w:t>
      </w:r>
      <w:proofErr w:type="spellEnd"/>
      <w:r>
        <w:t xml:space="preserve"> </w:t>
      </w:r>
      <w:proofErr w:type="spellStart"/>
      <w:r>
        <w:t>equipos</w:t>
      </w:r>
      <w:proofErr w:type="spellEnd"/>
      <w:r>
        <w:t xml:space="preserve"> y </w:t>
      </w:r>
      <w:proofErr w:type="spellStart"/>
      <w:r>
        <w:t>suministros</w:t>
      </w:r>
      <w:proofErr w:type="spellEnd"/>
      <w:r>
        <w:t>.</w:t>
      </w:r>
    </w:p>
    <w:p w14:paraId="599BD71A" w14:textId="4DE3E528" w:rsidR="00A31F80" w:rsidRDefault="00000000">
      <w:pPr>
        <w:pStyle w:val="ListParagraph"/>
        <w:numPr>
          <w:ilvl w:val="0"/>
          <w:numId w:val="4"/>
        </w:numPr>
        <w:spacing w:after="60" w:line="240" w:lineRule="auto"/>
        <w:jc w:val="both"/>
      </w:pPr>
      <w:r>
        <w:t xml:space="preserve">TB REACH </w:t>
      </w:r>
      <w:proofErr w:type="spellStart"/>
      <w:r>
        <w:t>sugiere</w:t>
      </w:r>
      <w:proofErr w:type="spellEnd"/>
      <w:r>
        <w:t xml:space="preserve"> </w:t>
      </w:r>
      <w:proofErr w:type="spellStart"/>
      <w:r>
        <w:t>encarecidamente</w:t>
      </w:r>
      <w:proofErr w:type="spellEnd"/>
      <w:r>
        <w:t xml:space="preserve"> no </w:t>
      </w:r>
      <w:proofErr w:type="spellStart"/>
      <w:r>
        <w:t>incluir</w:t>
      </w:r>
      <w:proofErr w:type="spellEnd"/>
      <w:r>
        <w:t xml:space="preserve"> la </w:t>
      </w:r>
      <w:proofErr w:type="spellStart"/>
      <w:r>
        <w:t>adquisición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propuestas</w:t>
      </w:r>
      <w:proofErr w:type="spellEnd"/>
      <w:r>
        <w:t xml:space="preserve"> y, de </w:t>
      </w:r>
      <w:proofErr w:type="spellStart"/>
      <w:r>
        <w:t>hacerlo</w:t>
      </w:r>
      <w:proofErr w:type="spellEnd"/>
      <w:r>
        <w:t xml:space="preserve">, la </w:t>
      </w:r>
      <w:proofErr w:type="spellStart"/>
      <w:r>
        <w:t>inclusión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</w:t>
      </w:r>
      <w:proofErr w:type="spellStart"/>
      <w:r>
        <w:t>justificada</w:t>
      </w:r>
      <w:proofErr w:type="spellEnd"/>
      <w:r>
        <w:t>.</w:t>
      </w:r>
    </w:p>
    <w:p w14:paraId="6896F6EB" w14:textId="77777777" w:rsidR="00A31F80" w:rsidRDefault="00A31F80">
      <w:pPr>
        <w:pStyle w:val="ListParagraph"/>
        <w:spacing w:after="60" w:line="240" w:lineRule="auto"/>
        <w:jc w:val="both"/>
      </w:pPr>
    </w:p>
    <w:p w14:paraId="31EC1039" w14:textId="61CED739" w:rsidR="00A31F80" w:rsidRDefault="00000000">
      <w:pPr>
        <w:pStyle w:val="P68B1DB1-Normal3"/>
        <w:spacing w:after="0" w:line="240" w:lineRule="auto"/>
        <w:jc w:val="both"/>
      </w:pPr>
      <w:proofErr w:type="spellStart"/>
      <w:r>
        <w:lastRenderedPageBreak/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7 – TI /Comunicaciones</w:t>
      </w:r>
    </w:p>
    <w:p w14:paraId="48371E4B" w14:textId="07DDEF90" w:rsidR="00A31F80" w:rsidRDefault="00000000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Esta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gastos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rPr>
          <w:i/>
        </w:rPr>
        <w:t>tecnología</w:t>
      </w:r>
      <w:proofErr w:type="spellEnd"/>
      <w:r>
        <w:rPr>
          <w:i/>
        </w:rPr>
        <w:t xml:space="preserve"> de la </w:t>
      </w:r>
      <w:proofErr w:type="spellStart"/>
      <w:r>
        <w:rPr>
          <w:i/>
        </w:rPr>
        <w:t>información</w:t>
      </w:r>
      <w:proofErr w:type="spellEnd"/>
      <w:r>
        <w:rPr>
          <w:i/>
        </w:rPr>
        <w:t xml:space="preserve"> (TI).</w:t>
      </w:r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nube</w:t>
      </w:r>
      <w:proofErr w:type="spellEnd"/>
      <w:r>
        <w:t xml:space="preserve">,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alojamiento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acceso</w:t>
      </w:r>
      <w:proofErr w:type="spellEnd"/>
      <w:r>
        <w:t xml:space="preserve"> a la red,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servidores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software, etc.</w:t>
      </w:r>
    </w:p>
    <w:p w14:paraId="0B7B0667" w14:textId="6CF54E8E" w:rsidR="00A31F80" w:rsidRDefault="00000000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También</w:t>
      </w:r>
      <w:proofErr w:type="spellEnd"/>
      <w:r>
        <w:t xml:space="preserve"> se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pequeños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t xml:space="preserve"> de </w:t>
      </w:r>
      <w:proofErr w:type="spellStart"/>
      <w:r>
        <w:t>adquisición</w:t>
      </w:r>
      <w:proofErr w:type="spellEnd"/>
      <w:r>
        <w:t xml:space="preserve"> con fines de </w:t>
      </w:r>
      <w:proofErr w:type="spellStart"/>
      <w:r>
        <w:t>promoción</w:t>
      </w:r>
      <w:proofErr w:type="spellEnd"/>
      <w:r>
        <w:t xml:space="preserve"> (</w:t>
      </w:r>
      <w:proofErr w:type="spellStart"/>
      <w:r>
        <w:t>pegatinas</w:t>
      </w:r>
      <w:proofErr w:type="spellEnd"/>
      <w:r>
        <w:t xml:space="preserve">, </w:t>
      </w:r>
      <w:proofErr w:type="spellStart"/>
      <w:r>
        <w:t>bolígrafos</w:t>
      </w:r>
      <w:proofErr w:type="spellEnd"/>
      <w:r>
        <w:t xml:space="preserve">, </w:t>
      </w:r>
      <w:proofErr w:type="spellStart"/>
      <w:r>
        <w:t>camisetas</w:t>
      </w:r>
      <w:proofErr w:type="spellEnd"/>
      <w:r>
        <w:t>, etc.)</w:t>
      </w:r>
    </w:p>
    <w:p w14:paraId="034EDA10" w14:textId="288274E5" w:rsidR="00A31F80" w:rsidRDefault="00A31F80">
      <w:pPr>
        <w:pStyle w:val="ListParagraph"/>
        <w:spacing w:after="60" w:line="240" w:lineRule="auto"/>
        <w:jc w:val="both"/>
      </w:pPr>
    </w:p>
    <w:p w14:paraId="3F93FC99" w14:textId="031059C1" w:rsidR="00A31F80" w:rsidRDefault="00000000">
      <w:pPr>
        <w:pStyle w:val="P68B1DB1-Normal3"/>
        <w:spacing w:after="0" w:line="240" w:lineRule="auto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8 –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directo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(</w:t>
      </w:r>
      <w:proofErr w:type="spellStart"/>
      <w:r>
        <w:t>máx</w:t>
      </w:r>
      <w:proofErr w:type="spellEnd"/>
      <w:r>
        <w:t xml:space="preserve">. 12 % del </w:t>
      </w:r>
      <w:proofErr w:type="spellStart"/>
      <w:r>
        <w:t>presupuesto</w:t>
      </w:r>
      <w:proofErr w:type="spellEnd"/>
      <w:r>
        <w:t xml:space="preserve"> total)</w:t>
      </w:r>
    </w:p>
    <w:p w14:paraId="42BD742F" w14:textId="05C8FCE7" w:rsidR="00A31F80" w:rsidRDefault="00000000">
      <w:pPr>
        <w:numPr>
          <w:ilvl w:val="0"/>
          <w:numId w:val="6"/>
        </w:numPr>
        <w:spacing w:after="60" w:line="240" w:lineRule="auto"/>
        <w:ind w:left="851" w:hanging="283"/>
        <w:jc w:val="both"/>
      </w:pPr>
      <w:r>
        <w:t xml:space="preserve">El </w:t>
      </w:r>
      <w:proofErr w:type="spellStart"/>
      <w:r>
        <w:t>gasto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directo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(</w:t>
      </w:r>
      <w:proofErr w:type="spellStart"/>
      <w:r>
        <w:t>gastos</w:t>
      </w:r>
      <w:proofErr w:type="spellEnd"/>
      <w:r>
        <w:t xml:space="preserve"> </w:t>
      </w:r>
      <w:proofErr w:type="spellStart"/>
      <w:r>
        <w:t>generales</w:t>
      </w:r>
      <w:proofErr w:type="spellEnd"/>
      <w:r>
        <w:t xml:space="preserve">) no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12 % del </w:t>
      </w:r>
      <w:proofErr w:type="spellStart"/>
      <w:r>
        <w:t>presupuesto</w:t>
      </w:r>
      <w:proofErr w:type="spellEnd"/>
      <w:r>
        <w:t xml:space="preserve"> total de la </w:t>
      </w:r>
      <w:proofErr w:type="spellStart"/>
      <w:r>
        <w:t>subvención</w:t>
      </w:r>
      <w:proofErr w:type="spellEnd"/>
      <w:r>
        <w:t>.</w:t>
      </w:r>
    </w:p>
    <w:p w14:paraId="0F9544CF" w14:textId="6C62E870" w:rsidR="00A31F80" w:rsidRDefault="00000000">
      <w:pPr>
        <w:numPr>
          <w:ilvl w:val="1"/>
          <w:numId w:val="6"/>
        </w:numPr>
        <w:spacing w:after="60" w:line="240" w:lineRule="auto"/>
        <w:ind w:left="1276" w:hanging="283"/>
        <w:jc w:val="both"/>
      </w:pPr>
      <w:r>
        <w:t xml:space="preserve">Si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subconcesiones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combinados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directo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primario</w:t>
      </w:r>
      <w:proofErr w:type="spellEnd"/>
      <w:r>
        <w:t xml:space="preserve"> y al </w:t>
      </w:r>
      <w:proofErr w:type="spellStart"/>
      <w:r>
        <w:t>subreceptor</w:t>
      </w:r>
      <w:proofErr w:type="spellEnd"/>
      <w:r>
        <w:t xml:space="preserve"> no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12 %.  Por lo tanto, TB REACH no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destinatario</w:t>
      </w:r>
      <w:proofErr w:type="spellEnd"/>
      <w:r>
        <w:t xml:space="preserve"> principal </w:t>
      </w:r>
      <w:proofErr w:type="spellStart"/>
      <w:r>
        <w:t>asuma</w:t>
      </w:r>
      <w:proofErr w:type="spellEnd"/>
      <w:r>
        <w:t xml:space="preserve"> un </w:t>
      </w:r>
      <w:proofErr w:type="spellStart"/>
      <w:r>
        <w:t>costo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directo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del 12 % y luego </w:t>
      </w:r>
      <w:proofErr w:type="spellStart"/>
      <w:r>
        <w:t>el</w:t>
      </w:r>
      <w:proofErr w:type="spellEnd"/>
      <w:r>
        <w:t xml:space="preserve"> </w:t>
      </w:r>
      <w:proofErr w:type="spellStart"/>
      <w:r>
        <w:t>subreceptor</w:t>
      </w:r>
      <w:proofErr w:type="spellEnd"/>
      <w:r>
        <w:t xml:space="preserve"> </w:t>
      </w:r>
      <w:proofErr w:type="spellStart"/>
      <w:r>
        <w:t>haga</w:t>
      </w:r>
      <w:proofErr w:type="spellEnd"/>
      <w:r>
        <w:t xml:space="preserve"> lo </w:t>
      </w:r>
      <w:proofErr w:type="spellStart"/>
      <w:r>
        <w:t>mismo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significaría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totales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directo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excederían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gran </w:t>
      </w:r>
      <w:proofErr w:type="spellStart"/>
      <w:r>
        <w:t>medida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límite</w:t>
      </w:r>
      <w:proofErr w:type="spellEnd"/>
      <w:r>
        <w:t xml:space="preserve"> del 12 %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combinados</w:t>
      </w:r>
      <w:proofErr w:type="spellEnd"/>
      <w:r>
        <w:t>.</w:t>
      </w:r>
    </w:p>
    <w:p w14:paraId="3627505F" w14:textId="2116E024" w:rsidR="00A31F80" w:rsidRDefault="00000000">
      <w:pPr>
        <w:pStyle w:val="P68B1DB1-Normal4"/>
        <w:numPr>
          <w:ilvl w:val="0"/>
          <w:numId w:val="6"/>
        </w:numPr>
        <w:spacing w:after="60" w:line="240" w:lineRule="auto"/>
        <w:ind w:left="851" w:hanging="284"/>
        <w:jc w:val="both"/>
      </w:pPr>
      <w:r>
        <w:t xml:space="preserve">Este </w:t>
      </w:r>
      <w:proofErr w:type="spellStart"/>
      <w:r>
        <w:t>límite</w:t>
      </w:r>
      <w:proofErr w:type="spellEnd"/>
      <w:r>
        <w:t xml:space="preserve"> de </w:t>
      </w:r>
      <w:proofErr w:type="spellStart"/>
      <w:r>
        <w:t>gasto</w:t>
      </w:r>
      <w:proofErr w:type="spellEnd"/>
      <w:r>
        <w:t xml:space="preserve"> ha </w:t>
      </w:r>
      <w:proofErr w:type="spellStart"/>
      <w:r>
        <w:t>sido</w:t>
      </w:r>
      <w:proofErr w:type="spellEnd"/>
      <w:r>
        <w:t xml:space="preserve"> </w:t>
      </w:r>
      <w:proofErr w:type="spellStart"/>
      <w:r w:rsidR="005C29C8">
        <w:rPr>
          <w:lang w:val="en-US"/>
        </w:rPr>
        <w:t>establecido</w:t>
      </w:r>
      <w:proofErr w:type="spellEnd"/>
      <w:r w:rsidR="005C29C8">
        <w:rPr>
          <w:lang w:val="en-US"/>
        </w:rPr>
        <w:t xml:space="preserve"> </w:t>
      </w:r>
      <w:proofErr w:type="spellStart"/>
      <w:r>
        <w:t>por</w:t>
      </w:r>
      <w:proofErr w:type="spellEnd"/>
      <w:r>
        <w:t xml:space="preserve"> las </w:t>
      </w:r>
      <w:proofErr w:type="spellStart"/>
      <w:r>
        <w:t>agencias</w:t>
      </w:r>
      <w:proofErr w:type="spellEnd"/>
      <w:r>
        <w:t xml:space="preserve"> </w:t>
      </w:r>
      <w:proofErr w:type="spellStart"/>
      <w:r>
        <w:t>donantes</w:t>
      </w:r>
      <w:proofErr w:type="spellEnd"/>
      <w:r>
        <w:t xml:space="preserve"> que </w:t>
      </w:r>
      <w:proofErr w:type="spellStart"/>
      <w:r>
        <w:t>financian</w:t>
      </w:r>
      <w:proofErr w:type="spellEnd"/>
      <w:r>
        <w:t xml:space="preserve"> la </w:t>
      </w:r>
      <w:proofErr w:type="spellStart"/>
      <w:r>
        <w:t>iniciativa</w:t>
      </w:r>
      <w:proofErr w:type="spellEnd"/>
      <w:r>
        <w:t xml:space="preserve"> TB REACH, </w:t>
      </w:r>
      <w:proofErr w:type="spellStart"/>
      <w:r w:rsidR="005C29C8">
        <w:rPr>
          <w:lang w:val="en-US"/>
        </w:rPr>
        <w:t>por</w:t>
      </w:r>
      <w:proofErr w:type="spellEnd"/>
      <w:r w:rsidR="005C29C8">
        <w:rPr>
          <w:lang w:val="en-US"/>
        </w:rPr>
        <w:t xml:space="preserve"> lo que </w:t>
      </w:r>
      <w:r>
        <w:rPr>
          <w:b/>
          <w:u w:val="single"/>
        </w:rPr>
        <w:t xml:space="preserve">no hay </w:t>
      </w:r>
      <w:proofErr w:type="spellStart"/>
      <w:r>
        <w:rPr>
          <w:b/>
          <w:u w:val="single"/>
        </w:rPr>
        <w:t>flexibilidad</w:t>
      </w:r>
      <w:proofErr w:type="spellEnd"/>
      <w:r>
        <w:rPr>
          <w:b/>
          <w:u w:val="single"/>
        </w:rPr>
        <w:t xml:space="preserve"> para </w:t>
      </w:r>
      <w:proofErr w:type="spellStart"/>
      <w:r>
        <w:rPr>
          <w:b/>
          <w:u w:val="single"/>
        </w:rPr>
        <w:t>superar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este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límite</w:t>
      </w:r>
      <w:proofErr w:type="spellEnd"/>
      <w:r>
        <w:t>.</w:t>
      </w:r>
    </w:p>
    <w:p w14:paraId="442276F3" w14:textId="110F14B5" w:rsidR="00A31F80" w:rsidRDefault="00000000">
      <w:pPr>
        <w:numPr>
          <w:ilvl w:val="0"/>
          <w:numId w:val="6"/>
        </w:numPr>
        <w:spacing w:after="0" w:line="240" w:lineRule="auto"/>
        <w:ind w:left="851" w:hanging="283"/>
        <w:jc w:val="both"/>
        <w:rPr>
          <w:b/>
        </w:rPr>
      </w:pPr>
      <w:r>
        <w:t xml:space="preserve">Los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directos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 al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gasto</w:t>
      </w:r>
      <w:proofErr w:type="spellEnd"/>
      <w:r>
        <w:t xml:space="preserve"> </w:t>
      </w:r>
      <w:proofErr w:type="spellStart"/>
      <w:r>
        <w:t>indirecto</w:t>
      </w:r>
      <w:proofErr w:type="spellEnd"/>
      <w:r>
        <w:t xml:space="preserve"> que no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relacionado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personal </w:t>
      </w:r>
      <w:proofErr w:type="spellStart"/>
      <w:r>
        <w:t>directo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</w:t>
      </w:r>
      <w:proofErr w:type="spellStart"/>
      <w:r>
        <w:t>directos</w:t>
      </w:r>
      <w:proofErr w:type="spellEnd"/>
      <w:r>
        <w:t xml:space="preserve">, las </w:t>
      </w:r>
      <w:proofErr w:type="spellStart"/>
      <w:r>
        <w:t>actividades</w:t>
      </w:r>
      <w:proofErr w:type="spellEnd"/>
      <w:r>
        <w:t xml:space="preserve">, etc. Los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elegibles</w:t>
      </w:r>
      <w:proofErr w:type="spellEnd"/>
      <w:r>
        <w:t xml:space="preserve"> son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públicos</w:t>
      </w:r>
      <w:proofErr w:type="spellEnd"/>
      <w:r>
        <w:t xml:space="preserve"> de la </w:t>
      </w:r>
      <w:proofErr w:type="spellStart"/>
      <w:r>
        <w:t>oficina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alquiler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seguridad</w:t>
      </w:r>
      <w:proofErr w:type="spellEnd"/>
      <w:r>
        <w:t xml:space="preserve">, </w:t>
      </w:r>
      <w:proofErr w:type="spellStart"/>
      <w:r w:rsidR="005C29C8">
        <w:rPr>
          <w:lang w:val="en-US"/>
        </w:rPr>
        <w:t>el</w:t>
      </w:r>
      <w:proofErr w:type="spellEnd"/>
      <w:r w:rsidR="005C29C8">
        <w:rPr>
          <w:lang w:val="en-US"/>
        </w:rPr>
        <w:t xml:space="preserve"> </w:t>
      </w:r>
      <w:proofErr w:type="spellStart"/>
      <w:r w:rsidR="005C29C8">
        <w:rPr>
          <w:lang w:val="en-US"/>
        </w:rPr>
        <w:t>costo</w:t>
      </w:r>
      <w:proofErr w:type="spellEnd"/>
      <w:r w:rsidR="005C29C8">
        <w:rPr>
          <w:lang w:val="en-US"/>
        </w:rPr>
        <w:t xml:space="preserve"> </w:t>
      </w:r>
      <w:r>
        <w:t xml:space="preserve">de </w:t>
      </w:r>
      <w:proofErr w:type="spellStart"/>
      <w:r>
        <w:t>auditoría</w:t>
      </w:r>
      <w:proofErr w:type="spellEnd"/>
      <w:r>
        <w:t xml:space="preserve"> (</w:t>
      </w:r>
      <w:proofErr w:type="spellStart"/>
      <w:r w:rsidR="005C29C8">
        <w:rPr>
          <w:lang w:val="en-US"/>
        </w:rPr>
        <w:t>ver</w:t>
      </w:r>
      <w:proofErr w:type="spellEnd"/>
      <w:r w:rsidR="005C29C8">
        <w:rPr>
          <w:lang w:val="en-US"/>
        </w:rPr>
        <w:t xml:space="preserve"> </w:t>
      </w:r>
      <w:proofErr w:type="spellStart"/>
      <w:r w:rsidR="005C29C8">
        <w:rPr>
          <w:lang w:val="en-US"/>
        </w:rPr>
        <w:t>abajo</w:t>
      </w:r>
      <w:proofErr w:type="spellEnd"/>
      <w:r>
        <w:t xml:space="preserve">), </w:t>
      </w:r>
      <w:proofErr w:type="spellStart"/>
      <w:r>
        <w:t>los</w:t>
      </w:r>
      <w:proofErr w:type="spellEnd"/>
      <w:r>
        <w:t xml:space="preserve"> cargos </w:t>
      </w:r>
      <w:proofErr w:type="spellStart"/>
      <w:r>
        <w:t>bancarios</w:t>
      </w:r>
      <w:proofErr w:type="spellEnd"/>
      <w:r>
        <w:t>, etc.</w:t>
      </w:r>
    </w:p>
    <w:p w14:paraId="21E261E4" w14:textId="77777777" w:rsidR="00A31F80" w:rsidRDefault="00000000">
      <w:pPr>
        <w:pStyle w:val="P68B1DB1-Normal6"/>
        <w:numPr>
          <w:ilvl w:val="0"/>
          <w:numId w:val="6"/>
        </w:numPr>
        <w:spacing w:after="0" w:line="240" w:lineRule="auto"/>
        <w:ind w:left="851" w:hanging="283"/>
        <w:jc w:val="both"/>
      </w:pPr>
      <w:r>
        <w:t xml:space="preserve">La </w:t>
      </w:r>
      <w:proofErr w:type="spellStart"/>
      <w:r>
        <w:t>financiación</w:t>
      </w:r>
      <w:proofErr w:type="spellEnd"/>
      <w:r>
        <w:t xml:space="preserve"> no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para </w:t>
      </w:r>
      <w:proofErr w:type="spellStart"/>
      <w:r>
        <w:t>establecer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oficinas</w:t>
      </w:r>
      <w:proofErr w:type="spellEnd"/>
      <w:r>
        <w:t xml:space="preserve"> o para </w:t>
      </w:r>
      <w:proofErr w:type="spellStart"/>
      <w:r>
        <w:t>renovar</w:t>
      </w:r>
      <w:proofErr w:type="spellEnd"/>
      <w:r>
        <w:t xml:space="preserve"> las </w:t>
      </w:r>
      <w:proofErr w:type="spellStart"/>
      <w:r>
        <w:t>existentes</w:t>
      </w:r>
      <w:proofErr w:type="spellEnd"/>
      <w:r>
        <w:t>.</w:t>
      </w:r>
    </w:p>
    <w:p w14:paraId="4A605CCE" w14:textId="254FEE99" w:rsidR="00A31F80" w:rsidRDefault="00000000">
      <w:pPr>
        <w:pStyle w:val="P68B1DB1-Normal7"/>
        <w:numPr>
          <w:ilvl w:val="0"/>
          <w:numId w:val="6"/>
        </w:numPr>
        <w:spacing w:after="60" w:line="240" w:lineRule="auto"/>
        <w:ind w:left="851" w:hanging="283"/>
        <w:jc w:val="both"/>
      </w:pPr>
      <w:r>
        <w:t xml:space="preserve">Los </w:t>
      </w:r>
      <w:proofErr w:type="spellStart"/>
      <w:r>
        <w:t>beneficiarios</w:t>
      </w:r>
      <w:proofErr w:type="spellEnd"/>
      <w:r>
        <w:t xml:space="preserve"> de TB REACH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un </w:t>
      </w:r>
      <w:proofErr w:type="spellStart"/>
      <w:r>
        <w:t>informe</w:t>
      </w:r>
      <w:proofErr w:type="spellEnd"/>
      <w:r>
        <w:t xml:space="preserve"> de </w:t>
      </w:r>
      <w:proofErr w:type="spellStart"/>
      <w:r>
        <w:t>auditoría</w:t>
      </w:r>
      <w:proofErr w:type="spellEnd"/>
      <w:r>
        <w:t xml:space="preserve"> </w:t>
      </w:r>
      <w:proofErr w:type="spellStart"/>
      <w:r>
        <w:t>certificado</w:t>
      </w:r>
      <w:proofErr w:type="spellEnd"/>
      <w:r>
        <w:t xml:space="preserve"> al final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período</w:t>
      </w:r>
      <w:proofErr w:type="spellEnd"/>
      <w:r>
        <w:t xml:space="preserve"> de </w:t>
      </w:r>
      <w:proofErr w:type="spellStart"/>
      <w:r>
        <w:t>subvención</w:t>
      </w:r>
      <w:proofErr w:type="spellEnd"/>
      <w:r>
        <w:t xml:space="preserve">, que es uno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entregables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pago</w:t>
      </w:r>
      <w:proofErr w:type="spellEnd"/>
      <w:r>
        <w:t xml:space="preserve"> final de la </w:t>
      </w:r>
      <w:proofErr w:type="spellStart"/>
      <w:r>
        <w:t>subvención</w:t>
      </w:r>
      <w:proofErr w:type="spellEnd"/>
      <w:r>
        <w:t xml:space="preserve">. Los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presupuestar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coste</w:t>
      </w:r>
      <w:proofErr w:type="spellEnd"/>
      <w:r>
        <w:t xml:space="preserve"> de la </w:t>
      </w:r>
      <w:proofErr w:type="spellStart"/>
      <w:r>
        <w:t>auditoría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. </w:t>
      </w:r>
    </w:p>
    <w:p w14:paraId="0300BB91" w14:textId="7D4DB52C" w:rsidR="00A31F80" w:rsidRDefault="00A31F80">
      <w:pPr>
        <w:spacing w:after="0" w:line="240" w:lineRule="auto"/>
      </w:pPr>
    </w:p>
    <w:p w14:paraId="112812F0" w14:textId="704EEA3D" w:rsidR="00A31F80" w:rsidRDefault="00A31F80">
      <w:pPr>
        <w:spacing w:after="0" w:line="240" w:lineRule="auto"/>
        <w:rPr>
          <w:u w:val="single"/>
        </w:rPr>
      </w:pPr>
    </w:p>
    <w:p w14:paraId="257E4F6D" w14:textId="4EA4EF61" w:rsidR="00A31F80" w:rsidRDefault="00000000">
      <w:pPr>
        <w:pStyle w:val="P68B1DB1-Normal3"/>
        <w:spacing w:after="0" w:line="240" w:lineRule="auto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9 – </w:t>
      </w:r>
      <w:proofErr w:type="spellStart"/>
      <w:r>
        <w:t>Investigación</w:t>
      </w:r>
      <w:proofErr w:type="spellEnd"/>
      <w:r>
        <w:t xml:space="preserve"> </w:t>
      </w:r>
      <w:r w:rsidR="005C29C8">
        <w:rPr>
          <w:lang w:val="en-US"/>
        </w:rPr>
        <w:t>para la</w:t>
      </w:r>
      <w:r>
        <w:t xml:space="preserve"> </w:t>
      </w:r>
      <w:proofErr w:type="spellStart"/>
      <w:r>
        <w:t>implementación</w:t>
      </w:r>
      <w:proofErr w:type="spellEnd"/>
      <w:r>
        <w:t xml:space="preserve"> (</w:t>
      </w:r>
      <w:proofErr w:type="spellStart"/>
      <w:r>
        <w:t>máx</w:t>
      </w:r>
      <w:proofErr w:type="spellEnd"/>
      <w:r>
        <w:t xml:space="preserve">. 10 % del </w:t>
      </w:r>
      <w:proofErr w:type="spellStart"/>
      <w:r>
        <w:t>presupuesto</w:t>
      </w:r>
      <w:proofErr w:type="spellEnd"/>
      <w:r>
        <w:t xml:space="preserve"> total)</w:t>
      </w:r>
    </w:p>
    <w:p w14:paraId="736321DF" w14:textId="505AA0C2" w:rsidR="00A31F80" w:rsidRDefault="00A31F80">
      <w:pPr>
        <w:spacing w:after="0" w:line="240" w:lineRule="auto"/>
      </w:pPr>
    </w:p>
    <w:p w14:paraId="2191AA0A" w14:textId="494A4550" w:rsidR="00A31F80" w:rsidRDefault="00000000">
      <w:pPr>
        <w:pStyle w:val="P68B1DB1-ListParagraph8"/>
        <w:numPr>
          <w:ilvl w:val="0"/>
          <w:numId w:val="42"/>
        </w:numPr>
        <w:spacing w:after="60" w:line="240" w:lineRule="auto"/>
        <w:ind w:left="851" w:hanging="294"/>
        <w:jc w:val="both"/>
      </w:pPr>
      <w:r>
        <w:t xml:space="preserve">La </w:t>
      </w:r>
      <w:proofErr w:type="spellStart"/>
      <w:r>
        <w:t>investigación</w:t>
      </w:r>
      <w:proofErr w:type="spellEnd"/>
      <w:r>
        <w:t xml:space="preserve"> </w:t>
      </w:r>
      <w:r w:rsidR="005C29C8">
        <w:rPr>
          <w:lang w:val="en-US"/>
        </w:rPr>
        <w:t>para la</w:t>
      </w:r>
      <w:r>
        <w:t xml:space="preserve"> </w:t>
      </w:r>
      <w:proofErr w:type="spellStart"/>
      <w:r>
        <w:t>implementación</w:t>
      </w:r>
      <w:proofErr w:type="spellEnd"/>
      <w:r>
        <w:t xml:space="preserve"> es un </w:t>
      </w:r>
      <w:proofErr w:type="spellStart"/>
      <w:r>
        <w:t>componente</w:t>
      </w:r>
      <w:proofErr w:type="spellEnd"/>
      <w:r>
        <w:t xml:space="preserve"> clave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proyectos</w:t>
      </w:r>
      <w:proofErr w:type="spellEnd"/>
      <w:r>
        <w:t xml:space="preserve"> de TB REACH; sin embargo, las </w:t>
      </w:r>
      <w:proofErr w:type="spellStart"/>
      <w:r>
        <w:t>subvenciones</w:t>
      </w:r>
      <w:proofErr w:type="spellEnd"/>
      <w:r>
        <w:t xml:space="preserve"> no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destinadas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apoyar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estudios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. El </w:t>
      </w:r>
      <w:proofErr w:type="spellStart"/>
      <w:r>
        <w:t>gasto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t xml:space="preserve"> </w:t>
      </w:r>
      <w:r w:rsidR="005C29C8">
        <w:rPr>
          <w:lang w:val="en-US"/>
        </w:rPr>
        <w:t xml:space="preserve">para la </w:t>
      </w:r>
      <w:proofErr w:type="spellStart"/>
      <w:r>
        <w:t>implementación</w:t>
      </w:r>
      <w:proofErr w:type="spellEnd"/>
      <w:r>
        <w:t xml:space="preserve"> no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10 % del </w:t>
      </w:r>
      <w:proofErr w:type="spellStart"/>
      <w:r>
        <w:t>presupuesto</w:t>
      </w:r>
      <w:proofErr w:type="spellEnd"/>
      <w:r>
        <w:t xml:space="preserve"> total </w:t>
      </w:r>
      <w:proofErr w:type="spellStart"/>
      <w:r>
        <w:t>solicitado</w:t>
      </w:r>
      <w:proofErr w:type="spellEnd"/>
      <w:r>
        <w:t>.</w:t>
      </w:r>
    </w:p>
    <w:p w14:paraId="5EDE8D76" w14:textId="364D6405" w:rsidR="00A31F80" w:rsidRDefault="00000000">
      <w:pPr>
        <w:pStyle w:val="P68B1DB1-ListParagraph8"/>
        <w:numPr>
          <w:ilvl w:val="0"/>
          <w:numId w:val="42"/>
        </w:numPr>
        <w:spacing w:line="240" w:lineRule="auto"/>
        <w:ind w:left="851" w:hanging="294"/>
        <w:jc w:val="both"/>
      </w:pPr>
      <w:r>
        <w:t xml:space="preserve">Esta </w:t>
      </w: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para </w:t>
      </w:r>
      <w:proofErr w:type="spellStart"/>
      <w:r>
        <w:t>respaldar</w:t>
      </w:r>
      <w:proofErr w:type="spellEnd"/>
      <w:r>
        <w:t xml:space="preserve"> </w:t>
      </w:r>
      <w:proofErr w:type="spellStart"/>
      <w:r>
        <w:t>estudios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de </w:t>
      </w:r>
      <w:proofErr w:type="spellStart"/>
      <w:r>
        <w:t>implementación</w:t>
      </w:r>
      <w:proofErr w:type="spellEnd"/>
      <w:r>
        <w:t xml:space="preserve"> </w:t>
      </w:r>
      <w:proofErr w:type="spellStart"/>
      <w:r>
        <w:t>independientes</w:t>
      </w:r>
      <w:proofErr w:type="spellEnd"/>
      <w:r>
        <w:t xml:space="preserve"> o para </w:t>
      </w:r>
      <w:proofErr w:type="spellStart"/>
      <w:r>
        <w:t>respaldar</w:t>
      </w:r>
      <w:proofErr w:type="spellEnd"/>
      <w:r>
        <w:t xml:space="preserve"> </w:t>
      </w:r>
      <w:proofErr w:type="spellStart"/>
      <w:r>
        <w:t>análisis</w:t>
      </w:r>
      <w:proofErr w:type="spellEnd"/>
      <w:r>
        <w:t xml:space="preserve"> </w:t>
      </w:r>
      <w:proofErr w:type="spellStart"/>
      <w:r>
        <w:t>adicionales</w:t>
      </w:r>
      <w:proofErr w:type="spellEnd"/>
      <w:r>
        <w:t xml:space="preserve"> y la </w:t>
      </w:r>
      <w:proofErr w:type="spellStart"/>
      <w:r>
        <w:t>difusión</w:t>
      </w:r>
      <w:proofErr w:type="spellEnd"/>
      <w:r>
        <w:t xml:space="preserve"> de </w:t>
      </w:r>
      <w:proofErr w:type="spellStart"/>
      <w:r>
        <w:t>resultados</w:t>
      </w:r>
      <w:proofErr w:type="spellEnd"/>
      <w:r>
        <w:t xml:space="preserve"> de las </w:t>
      </w:r>
      <w:proofErr w:type="spellStart"/>
      <w:r>
        <w:t>actividades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>.</w:t>
      </w:r>
    </w:p>
    <w:p w14:paraId="16245B30" w14:textId="634FF1D8" w:rsidR="00A31F80" w:rsidRDefault="00A31F80">
      <w:pPr>
        <w:spacing w:after="0" w:line="240" w:lineRule="auto"/>
      </w:pPr>
    </w:p>
    <w:p w14:paraId="19CC14B8" w14:textId="05EAEDBD" w:rsidR="00A31F80" w:rsidRDefault="00000000">
      <w:pPr>
        <w:pStyle w:val="P68B1DB1-Normal3"/>
        <w:spacing w:after="60" w:line="240" w:lineRule="auto"/>
      </w:pPr>
      <w:proofErr w:type="spellStart"/>
      <w:r>
        <w:t>Categoría</w:t>
      </w:r>
      <w:proofErr w:type="spellEnd"/>
      <w:r>
        <w:t xml:space="preserve"> </w:t>
      </w:r>
      <w:proofErr w:type="spellStart"/>
      <w:r>
        <w:t>presupuestaria</w:t>
      </w:r>
      <w:proofErr w:type="spellEnd"/>
      <w:r>
        <w:t xml:space="preserve"> 10 – </w:t>
      </w:r>
      <w:proofErr w:type="spellStart"/>
      <w:r>
        <w:t>Proceso</w:t>
      </w:r>
      <w:proofErr w:type="spellEnd"/>
      <w:r>
        <w:t xml:space="preserve"> </w:t>
      </w:r>
      <w:proofErr w:type="spellStart"/>
      <w:r>
        <w:t>externo</w:t>
      </w:r>
      <w:proofErr w:type="spellEnd"/>
      <w:r>
        <w:t xml:space="preserve"> de </w:t>
      </w:r>
      <w:proofErr w:type="spellStart"/>
      <w:r w:rsidR="005C29C8">
        <w:rPr>
          <w:lang w:val="en-US"/>
        </w:rPr>
        <w:t>monitoreo</w:t>
      </w:r>
      <w:proofErr w:type="spellEnd"/>
      <w:r w:rsidR="005C29C8">
        <w:rPr>
          <w:lang w:val="en-US"/>
        </w:rPr>
        <w:t xml:space="preserve"> </w:t>
      </w:r>
      <w:r>
        <w:t xml:space="preserve">y </w:t>
      </w:r>
      <w:proofErr w:type="spellStart"/>
      <w:r>
        <w:t>evaluación</w:t>
      </w:r>
      <w:proofErr w:type="spellEnd"/>
      <w:r>
        <w:t xml:space="preserve"> (</w:t>
      </w:r>
      <w:proofErr w:type="spellStart"/>
      <w:r>
        <w:t>fondos</w:t>
      </w:r>
      <w:proofErr w:type="spellEnd"/>
      <w:r>
        <w:t xml:space="preserve"> </w:t>
      </w:r>
      <w:proofErr w:type="spellStart"/>
      <w:r>
        <w:t>retenidos</w:t>
      </w:r>
      <w:proofErr w:type="spellEnd"/>
      <w:r>
        <w:t xml:space="preserve"> </w:t>
      </w:r>
      <w:proofErr w:type="spellStart"/>
      <w:r w:rsidR="005C29C8">
        <w:rPr>
          <w:lang w:val="en-US"/>
        </w:rPr>
        <w:t>en</w:t>
      </w:r>
      <w:proofErr w:type="spellEnd"/>
      <w:r w:rsidR="005C29C8">
        <w:rPr>
          <w:lang w:val="en-US"/>
        </w:rPr>
        <w:t xml:space="preserve"> la </w:t>
      </w:r>
      <w:proofErr w:type="spellStart"/>
      <w:r w:rsidR="005C29C8">
        <w:rPr>
          <w:lang w:val="en-US"/>
        </w:rPr>
        <w:t>fuente</w:t>
      </w:r>
      <w:proofErr w:type="spellEnd"/>
      <w:r>
        <w:t>)</w:t>
      </w:r>
    </w:p>
    <w:p w14:paraId="39CD787E" w14:textId="4DDC81D6" w:rsidR="00A31F80" w:rsidRDefault="00000000">
      <w:pPr>
        <w:numPr>
          <w:ilvl w:val="0"/>
          <w:numId w:val="8"/>
        </w:numPr>
        <w:spacing w:after="60" w:line="240" w:lineRule="auto"/>
        <w:ind w:left="851" w:hanging="294"/>
      </w:pPr>
      <w:r>
        <w:t xml:space="preserve">TB REACH </w:t>
      </w:r>
      <w:proofErr w:type="spellStart"/>
      <w:r>
        <w:rPr>
          <w:b/>
        </w:rPr>
        <w:t>retendrá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fondos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fuente</w:t>
      </w:r>
      <w:proofErr w:type="spellEnd"/>
      <w:r>
        <w:t xml:space="preserve"> (</w:t>
      </w:r>
      <w:r w:rsidR="005C29C8">
        <w:rPr>
          <w:lang w:val="en-US"/>
        </w:rPr>
        <w:t>Stop TB Partnership</w:t>
      </w:r>
      <w:r>
        <w:t xml:space="preserve">/UNOPS) y </w:t>
      </w:r>
      <w:proofErr w:type="spellStart"/>
      <w:r>
        <w:t>adquirirá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externos</w:t>
      </w:r>
      <w:proofErr w:type="spellEnd"/>
      <w:r>
        <w:t xml:space="preserve"> de </w:t>
      </w:r>
      <w:proofErr w:type="spellStart"/>
      <w:r>
        <w:t>monitoreo</w:t>
      </w:r>
      <w:proofErr w:type="spellEnd"/>
      <w:r>
        <w:t xml:space="preserve"> y </w:t>
      </w:r>
      <w:proofErr w:type="spellStart"/>
      <w:r>
        <w:t>evaluación</w:t>
      </w:r>
      <w:proofErr w:type="spellEnd"/>
      <w:r>
        <w:t xml:space="preserve"> (M&amp;E) </w:t>
      </w:r>
      <w:proofErr w:type="spellStart"/>
      <w:r>
        <w:t>en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 w:rsidR="005C29C8">
        <w:rPr>
          <w:lang w:val="en-US"/>
        </w:rPr>
        <w:t>subvencionados</w:t>
      </w:r>
      <w:proofErr w:type="spellEnd"/>
      <w:r w:rsidR="005C29C8">
        <w:rPr>
          <w:lang w:val="en-US"/>
        </w:rPr>
        <w:t xml:space="preserve"> </w:t>
      </w:r>
      <w:r>
        <w:t>de</w:t>
      </w:r>
      <w:r w:rsidR="005C29C8">
        <w:rPr>
          <w:lang w:val="en-US"/>
        </w:rPr>
        <w:t>l</w:t>
      </w:r>
      <w:r>
        <w:t xml:space="preserve"> Wave 11.</w:t>
      </w:r>
    </w:p>
    <w:p w14:paraId="24313E5A" w14:textId="65132011" w:rsidR="00A31F80" w:rsidRDefault="00000000">
      <w:pPr>
        <w:numPr>
          <w:ilvl w:val="0"/>
          <w:numId w:val="8"/>
        </w:numPr>
        <w:spacing w:after="60" w:line="240" w:lineRule="auto"/>
        <w:ind w:left="851" w:hanging="294"/>
      </w:pPr>
      <w:r>
        <w:t xml:space="preserve">El </w:t>
      </w:r>
      <w:proofErr w:type="spellStart"/>
      <w:r>
        <w:t>presupuesto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de M&amp;E se </w:t>
      </w:r>
      <w:proofErr w:type="spellStart"/>
      <w:r>
        <w:t>establece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35 000 USD.</w:t>
      </w:r>
    </w:p>
    <w:p w14:paraId="1E7A79B0" w14:textId="3916169E" w:rsidR="00A31F80" w:rsidRDefault="00A31F80">
      <w:pPr>
        <w:spacing w:after="60" w:line="240" w:lineRule="auto"/>
        <w:ind w:left="197"/>
      </w:pPr>
    </w:p>
    <w:p w14:paraId="7E07F4A1" w14:textId="67A465C5" w:rsidR="00A31F80" w:rsidRDefault="00000000">
      <w:pPr>
        <w:spacing w:after="0" w:line="240" w:lineRule="auto"/>
        <w:jc w:val="both"/>
      </w:pPr>
      <w:r>
        <w:rPr>
          <w:b/>
        </w:rPr>
        <w:t xml:space="preserve">* Nota: </w:t>
      </w:r>
      <w:r>
        <w:t xml:space="preserve">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t xml:space="preserve"> con un </w:t>
      </w:r>
      <w:proofErr w:type="spellStart"/>
      <w:r>
        <w:t>valor</w:t>
      </w:r>
      <w:proofErr w:type="spellEnd"/>
      <w:r>
        <w:t xml:space="preserve"> de </w:t>
      </w:r>
      <w:proofErr w:type="spellStart"/>
      <w:r>
        <w:t>adquisición</w:t>
      </w:r>
      <w:proofErr w:type="spellEnd"/>
      <w:r>
        <w:t xml:space="preserve"> de 500 USD o </w:t>
      </w:r>
      <w:proofErr w:type="spellStart"/>
      <w:r>
        <w:t>más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beneficiario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mantener</w:t>
      </w:r>
      <w:proofErr w:type="spellEnd"/>
      <w:r>
        <w:t xml:space="preserve"> un </w:t>
      </w:r>
      <w:proofErr w:type="spellStart"/>
      <w:r>
        <w:t>registro</w:t>
      </w:r>
      <w:proofErr w:type="spellEnd"/>
      <w:r>
        <w:t xml:space="preserve"> con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 de </w:t>
      </w:r>
      <w:proofErr w:type="spellStart"/>
      <w:r>
        <w:t>apoyo</w:t>
      </w:r>
      <w:proofErr w:type="spellEnd"/>
      <w:r>
        <w:t xml:space="preserve">. La </w:t>
      </w:r>
      <w:proofErr w:type="spellStart"/>
      <w:r w:rsidR="004A0978">
        <w:rPr>
          <w:lang w:val="en-US"/>
        </w:rPr>
        <w:t>baja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artículos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revisada</w:t>
      </w:r>
      <w:proofErr w:type="spellEnd"/>
      <w:r>
        <w:t xml:space="preserve"> y </w:t>
      </w:r>
      <w:proofErr w:type="spellStart"/>
      <w:r>
        <w:t>aprobada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TB REACH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donación</w:t>
      </w:r>
      <w:proofErr w:type="spellEnd"/>
      <w:r>
        <w:t xml:space="preserve"> al </w:t>
      </w:r>
      <w:proofErr w:type="spellStart"/>
      <w:r>
        <w:t>beneficiario</w:t>
      </w:r>
      <w:proofErr w:type="spellEnd"/>
      <w:r>
        <w:t xml:space="preserve"> o NTP, </w:t>
      </w:r>
      <w:proofErr w:type="spellStart"/>
      <w:r>
        <w:t>transferencia</w:t>
      </w:r>
      <w:proofErr w:type="spellEnd"/>
      <w:r>
        <w:t xml:space="preserve"> a TB REACH o </w:t>
      </w:r>
      <w:proofErr w:type="spellStart"/>
      <w:r>
        <w:t>venta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otras</w:t>
      </w:r>
      <w:proofErr w:type="spellEnd"/>
      <w:r>
        <w:t xml:space="preserve"> partes) al </w:t>
      </w:r>
      <w:proofErr w:type="spellStart"/>
      <w:r>
        <w:t>finalizar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. El </w:t>
      </w:r>
      <w:proofErr w:type="spellStart"/>
      <w:r>
        <w:t>Acuerdo</w:t>
      </w:r>
      <w:proofErr w:type="spellEnd"/>
      <w:r>
        <w:t xml:space="preserve"> de </w:t>
      </w:r>
      <w:r w:rsidR="00DB3158">
        <w:rPr>
          <w:lang w:val="en-US"/>
        </w:rPr>
        <w:t xml:space="preserve">Stop TB Partnership </w:t>
      </w:r>
      <w:proofErr w:type="spellStart"/>
      <w:r>
        <w:t>contendrá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detallada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procedimiento</w:t>
      </w:r>
      <w:proofErr w:type="spellEnd"/>
      <w:r>
        <w:t xml:space="preserve"> de </w:t>
      </w:r>
      <w:proofErr w:type="spellStart"/>
      <w:r w:rsidR="004A0978">
        <w:rPr>
          <w:lang w:val="en-US"/>
        </w:rPr>
        <w:t>baja</w:t>
      </w:r>
      <w:proofErr w:type="spellEnd"/>
      <w:r w:rsidR="00DB3158">
        <w:t xml:space="preserve"> </w:t>
      </w:r>
      <w:r>
        <w:t xml:space="preserve">de </w:t>
      </w:r>
      <w:proofErr w:type="spellStart"/>
      <w:r>
        <w:t>dichos</w:t>
      </w:r>
      <w:proofErr w:type="spellEnd"/>
      <w:r>
        <w:t xml:space="preserve"> </w:t>
      </w:r>
      <w:proofErr w:type="spellStart"/>
      <w:r>
        <w:t>activos</w:t>
      </w:r>
      <w:proofErr w:type="spellEnd"/>
      <w:r>
        <w:t xml:space="preserve">. </w:t>
      </w:r>
    </w:p>
    <w:sectPr w:rsidR="00A31F80">
      <w:headerReference w:type="default" r:id="rId12"/>
      <w:footerReference w:type="defaul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B111" w14:textId="77777777" w:rsidR="00106925" w:rsidRDefault="00106925">
      <w:pPr>
        <w:spacing w:after="0" w:line="240" w:lineRule="auto"/>
      </w:pPr>
      <w:r>
        <w:separator/>
      </w:r>
    </w:p>
  </w:endnote>
  <w:endnote w:type="continuationSeparator" w:id="0">
    <w:p w14:paraId="46853528" w14:textId="77777777" w:rsidR="00106925" w:rsidRDefault="00106925">
      <w:pPr>
        <w:spacing w:after="0" w:line="240" w:lineRule="auto"/>
      </w:pPr>
      <w:r>
        <w:continuationSeparator/>
      </w:r>
    </w:p>
  </w:endnote>
  <w:endnote w:type="continuationNotice" w:id="1">
    <w:p w14:paraId="7D3FB440" w14:textId="77777777" w:rsidR="00106925" w:rsidRDefault="001069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Slab 500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612655"/>
      <w:docPartObj>
        <w:docPartGallery w:val="Page Numbers (Bottom of Page)"/>
        <w:docPartUnique/>
      </w:docPartObj>
    </w:sdtPr>
    <w:sdtContent>
      <w:sdt>
        <w:sdtPr>
          <w:id w:val="-581291920"/>
          <w:docPartObj>
            <w:docPartGallery w:val="Page Numbers (Top of Page)"/>
            <w:docPartUnique/>
          </w:docPartObj>
        </w:sdtPr>
        <w:sdtContent>
          <w:p w14:paraId="3DD24948" w14:textId="77777777" w:rsidR="00A31F80" w:rsidRDefault="00000000">
            <w:pPr>
              <w:pStyle w:val="Footer"/>
              <w:jc w:val="right"/>
            </w:pPr>
            <w:r>
              <w:t xml:space="preserve">Página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>
              <w:t>8</w:t>
            </w:r>
            <w:r>
              <w:rPr>
                <w:sz w:val="24"/>
              </w:rPr>
              <w:fldChar w:fldCharType="end"/>
            </w:r>
            <w:r>
              <w:t xml:space="preserve"> de </w:t>
            </w:r>
            <w:fldSimple w:instr=" NUMPAGES  ">
              <w:r>
                <w:t>8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9EAC" w14:textId="77777777" w:rsidR="00106925" w:rsidRDefault="00106925">
      <w:pPr>
        <w:spacing w:after="0" w:line="240" w:lineRule="auto"/>
      </w:pPr>
      <w:r>
        <w:separator/>
      </w:r>
    </w:p>
  </w:footnote>
  <w:footnote w:type="continuationSeparator" w:id="0">
    <w:p w14:paraId="054E2A96" w14:textId="77777777" w:rsidR="00106925" w:rsidRDefault="00106925">
      <w:pPr>
        <w:spacing w:after="0" w:line="240" w:lineRule="auto"/>
      </w:pPr>
      <w:r>
        <w:continuationSeparator/>
      </w:r>
    </w:p>
  </w:footnote>
  <w:footnote w:type="continuationNotice" w:id="1">
    <w:p w14:paraId="62AF89CB" w14:textId="77777777" w:rsidR="00106925" w:rsidRDefault="001069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446"/>
      <w:gridCol w:w="3210"/>
    </w:tblGrid>
    <w:tr w:rsidR="00A31F80" w14:paraId="264891E1" w14:textId="77777777">
      <w:tc>
        <w:tcPr>
          <w:tcW w:w="2972" w:type="dxa"/>
        </w:tcPr>
        <w:p w14:paraId="19CC03C0" w14:textId="77777777" w:rsidR="00A31F80" w:rsidRDefault="00000000">
          <w:pPr>
            <w:pStyle w:val="Header"/>
          </w:pPr>
          <w:r>
            <w:rPr>
              <w:noProof/>
            </w:rPr>
            <w:drawing>
              <wp:inline distT="0" distB="0" distL="0" distR="0" wp14:anchorId="1EAEB223" wp14:editId="2EF4A914">
                <wp:extent cx="1679616" cy="432000"/>
                <wp:effectExtent l="0" t="0" r="0" b="6350"/>
                <wp:docPr id="6" name="Picture 6" descr="S:\Communications\Branding\LOGO_ALL\StopTB_SubBrands\StopTBTBReach\SCREEN\StopTB-TBREACHLogo_RGB_140p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:\Communications\Branding\LOGO_ALL\StopTB_SubBrands\StopTBTBReach\SCREEN\StopTB-TBREACHLogo_RGB_140px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15" t="3322" r="2199" b="6885"/>
                        <a:stretch/>
                      </pic:blipFill>
                      <pic:spPr bwMode="auto">
                        <a:xfrm>
                          <a:off x="0" y="0"/>
                          <a:ext cx="1679616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6" w:type="dxa"/>
          <w:vAlign w:val="center"/>
        </w:tcPr>
        <w:p w14:paraId="42B8A3C8" w14:textId="77777777" w:rsidR="00A31F80" w:rsidRDefault="00000000">
          <w:pPr>
            <w:pStyle w:val="Header"/>
          </w:pPr>
          <w:r>
            <w:rPr>
              <w:noProof/>
            </w:rPr>
            <w:drawing>
              <wp:inline distT="0" distB="0" distL="0" distR="0" wp14:anchorId="7B073F3A" wp14:editId="7AD68145">
                <wp:extent cx="571585" cy="198000"/>
                <wp:effectExtent l="0" t="0" r="0" b="0"/>
                <wp:docPr id="419548722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85" cy="19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07010FD" w14:textId="77777777" w:rsidR="00A31F80" w:rsidRDefault="00000000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1AA37383" wp14:editId="7288B454">
                <wp:extent cx="502905" cy="216000"/>
                <wp:effectExtent l="0" t="0" r="0" b="0"/>
                <wp:docPr id="1398183995" name="Picture 8" descr="C:\Users\andrewc\AppData\Local\Microsoft\Windows\Temporary Internet Files\Content.Word\EndTB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905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1121A8" w14:textId="77777777" w:rsidR="00A31F80" w:rsidRDefault="00A31F8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0E9"/>
    <w:multiLevelType w:val="hybridMultilevel"/>
    <w:tmpl w:val="69DEDFC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2285D94"/>
    <w:multiLevelType w:val="hybridMultilevel"/>
    <w:tmpl w:val="05FCF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069B4"/>
    <w:multiLevelType w:val="hybridMultilevel"/>
    <w:tmpl w:val="F6744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1185"/>
    <w:multiLevelType w:val="hybridMultilevel"/>
    <w:tmpl w:val="5ACA89D2"/>
    <w:lvl w:ilvl="0" w:tplc="08090001">
      <w:start w:val="1"/>
      <w:numFmt w:val="bullet"/>
      <w:lvlText w:val=""/>
      <w:lvlJc w:val="left"/>
      <w:pPr>
        <w:ind w:left="20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9" w:hanging="360"/>
      </w:pPr>
      <w:rPr>
        <w:rFonts w:ascii="Wingdings" w:hAnsi="Wingdings" w:hint="default"/>
      </w:rPr>
    </w:lvl>
  </w:abstractNum>
  <w:abstractNum w:abstractNumId="4" w15:restartNumberingAfterBreak="0">
    <w:nsid w:val="0D693687"/>
    <w:multiLevelType w:val="hybridMultilevel"/>
    <w:tmpl w:val="0C822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5216F"/>
    <w:multiLevelType w:val="hybridMultilevel"/>
    <w:tmpl w:val="9C02794A"/>
    <w:lvl w:ilvl="0" w:tplc="2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C2AE4"/>
    <w:multiLevelType w:val="hybridMultilevel"/>
    <w:tmpl w:val="14682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F31B1"/>
    <w:multiLevelType w:val="hybridMultilevel"/>
    <w:tmpl w:val="7130E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07017"/>
    <w:multiLevelType w:val="hybridMultilevel"/>
    <w:tmpl w:val="CCEE6A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F68D7"/>
    <w:multiLevelType w:val="hybridMultilevel"/>
    <w:tmpl w:val="A93631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62AC9"/>
    <w:multiLevelType w:val="hybridMultilevel"/>
    <w:tmpl w:val="2B56D488"/>
    <w:lvl w:ilvl="0" w:tplc="0409000F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29F43FA3"/>
    <w:multiLevelType w:val="hybridMultilevel"/>
    <w:tmpl w:val="28384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325A0"/>
    <w:multiLevelType w:val="hybridMultilevel"/>
    <w:tmpl w:val="2C644A4E"/>
    <w:lvl w:ilvl="0" w:tplc="08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31636F52"/>
    <w:multiLevelType w:val="hybridMultilevel"/>
    <w:tmpl w:val="4DEAA222"/>
    <w:lvl w:ilvl="0" w:tplc="BA586E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B5593"/>
    <w:multiLevelType w:val="hybridMultilevel"/>
    <w:tmpl w:val="6240C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94CD7"/>
    <w:multiLevelType w:val="hybridMultilevel"/>
    <w:tmpl w:val="65781738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3E1984"/>
    <w:multiLevelType w:val="hybridMultilevel"/>
    <w:tmpl w:val="14205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55CD"/>
    <w:multiLevelType w:val="hybridMultilevel"/>
    <w:tmpl w:val="A828B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86EB9"/>
    <w:multiLevelType w:val="hybridMultilevel"/>
    <w:tmpl w:val="50D219CA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9A2922"/>
    <w:multiLevelType w:val="hybridMultilevel"/>
    <w:tmpl w:val="6C649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40255"/>
    <w:multiLevelType w:val="hybridMultilevel"/>
    <w:tmpl w:val="22CA0BBC"/>
    <w:lvl w:ilvl="0" w:tplc="27AEB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C6AC2"/>
    <w:multiLevelType w:val="hybridMultilevel"/>
    <w:tmpl w:val="E03ACC80"/>
    <w:lvl w:ilvl="0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FE6B96"/>
    <w:multiLevelType w:val="hybridMultilevel"/>
    <w:tmpl w:val="6D861AF2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86307"/>
    <w:multiLevelType w:val="hybridMultilevel"/>
    <w:tmpl w:val="86AA8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E7192"/>
    <w:multiLevelType w:val="hybridMultilevel"/>
    <w:tmpl w:val="8B4EC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C32C5"/>
    <w:multiLevelType w:val="hybridMultilevel"/>
    <w:tmpl w:val="FFFFFFFF"/>
    <w:lvl w:ilvl="0" w:tplc="F7728D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EC3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E805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83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6BC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23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2F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5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669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D1491"/>
    <w:multiLevelType w:val="hybridMultilevel"/>
    <w:tmpl w:val="77BCDBEC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3297D"/>
    <w:multiLevelType w:val="hybridMultilevel"/>
    <w:tmpl w:val="C6C4FE90"/>
    <w:lvl w:ilvl="0" w:tplc="40E024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15598"/>
    <w:multiLevelType w:val="hybridMultilevel"/>
    <w:tmpl w:val="99CA46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822C4"/>
    <w:multiLevelType w:val="hybridMultilevel"/>
    <w:tmpl w:val="C12A0C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81343"/>
    <w:multiLevelType w:val="hybridMultilevel"/>
    <w:tmpl w:val="71C4C500"/>
    <w:lvl w:ilvl="0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A1639B"/>
    <w:multiLevelType w:val="hybridMultilevel"/>
    <w:tmpl w:val="FF2E25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84F58"/>
    <w:multiLevelType w:val="hybridMultilevel"/>
    <w:tmpl w:val="FFFFFFFF"/>
    <w:lvl w:ilvl="0" w:tplc="55F40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386D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4B0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AD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44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684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CA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601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466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62091"/>
    <w:multiLevelType w:val="hybridMultilevel"/>
    <w:tmpl w:val="0B4A8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C4872"/>
    <w:multiLevelType w:val="hybridMultilevel"/>
    <w:tmpl w:val="FBDCF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E14F9"/>
    <w:multiLevelType w:val="hybridMultilevel"/>
    <w:tmpl w:val="774E8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D1543"/>
    <w:multiLevelType w:val="hybridMultilevel"/>
    <w:tmpl w:val="B3AC7754"/>
    <w:lvl w:ilvl="0" w:tplc="59C41C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B60C0D"/>
    <w:multiLevelType w:val="hybridMultilevel"/>
    <w:tmpl w:val="FA486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1942FD"/>
    <w:multiLevelType w:val="hybridMultilevel"/>
    <w:tmpl w:val="4F2A699C"/>
    <w:lvl w:ilvl="0" w:tplc="1EB66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47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5A4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4E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1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46B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82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CB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46F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03778"/>
    <w:multiLevelType w:val="hybridMultilevel"/>
    <w:tmpl w:val="884662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1792E"/>
    <w:multiLevelType w:val="hybridMultilevel"/>
    <w:tmpl w:val="FFFFFFFF"/>
    <w:lvl w:ilvl="0" w:tplc="758AA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8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C884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0C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6C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EA9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23B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2B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9EBD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585CAA"/>
    <w:multiLevelType w:val="hybridMultilevel"/>
    <w:tmpl w:val="6E3688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08885240">
    <w:abstractNumId w:val="32"/>
  </w:num>
  <w:num w:numId="2" w16cid:durableId="1340110941">
    <w:abstractNumId w:val="25"/>
  </w:num>
  <w:num w:numId="3" w16cid:durableId="2095473109">
    <w:abstractNumId w:val="40"/>
  </w:num>
  <w:num w:numId="4" w16cid:durableId="1720279951">
    <w:abstractNumId w:val="8"/>
  </w:num>
  <w:num w:numId="5" w16cid:durableId="965742327">
    <w:abstractNumId w:val="28"/>
  </w:num>
  <w:num w:numId="6" w16cid:durableId="1157068616">
    <w:abstractNumId w:val="9"/>
  </w:num>
  <w:num w:numId="7" w16cid:durableId="747579428">
    <w:abstractNumId w:val="3"/>
  </w:num>
  <w:num w:numId="8" w16cid:durableId="1807358350">
    <w:abstractNumId w:val="31"/>
  </w:num>
  <w:num w:numId="9" w16cid:durableId="2104838069">
    <w:abstractNumId w:val="27"/>
  </w:num>
  <w:num w:numId="10" w16cid:durableId="1024402251">
    <w:abstractNumId w:val="36"/>
  </w:num>
  <w:num w:numId="11" w16cid:durableId="898857388">
    <w:abstractNumId w:val="37"/>
  </w:num>
  <w:num w:numId="12" w16cid:durableId="168376067">
    <w:abstractNumId w:val="33"/>
  </w:num>
  <w:num w:numId="13" w16cid:durableId="1974435304">
    <w:abstractNumId w:val="4"/>
  </w:num>
  <w:num w:numId="14" w16cid:durableId="1097017003">
    <w:abstractNumId w:val="11"/>
  </w:num>
  <w:num w:numId="15" w16cid:durableId="760568981">
    <w:abstractNumId w:val="19"/>
  </w:num>
  <w:num w:numId="16" w16cid:durableId="971208204">
    <w:abstractNumId w:val="26"/>
  </w:num>
  <w:num w:numId="17" w16cid:durableId="304092773">
    <w:abstractNumId w:val="34"/>
  </w:num>
  <w:num w:numId="18" w16cid:durableId="1257399367">
    <w:abstractNumId w:val="21"/>
  </w:num>
  <w:num w:numId="19" w16cid:durableId="929701403">
    <w:abstractNumId w:val="35"/>
  </w:num>
  <w:num w:numId="20" w16cid:durableId="896009496">
    <w:abstractNumId w:val="30"/>
  </w:num>
  <w:num w:numId="21" w16cid:durableId="1325014094">
    <w:abstractNumId w:val="41"/>
  </w:num>
  <w:num w:numId="22" w16cid:durableId="1071849492">
    <w:abstractNumId w:val="22"/>
  </w:num>
  <w:num w:numId="23" w16cid:durableId="1916813437">
    <w:abstractNumId w:val="2"/>
  </w:num>
  <w:num w:numId="24" w16cid:durableId="783380166">
    <w:abstractNumId w:val="29"/>
  </w:num>
  <w:num w:numId="25" w16cid:durableId="49310586">
    <w:abstractNumId w:val="14"/>
  </w:num>
  <w:num w:numId="26" w16cid:durableId="1048458035">
    <w:abstractNumId w:val="23"/>
  </w:num>
  <w:num w:numId="27" w16cid:durableId="1019889207">
    <w:abstractNumId w:val="1"/>
  </w:num>
  <w:num w:numId="28" w16cid:durableId="1053581051">
    <w:abstractNumId w:val="6"/>
  </w:num>
  <w:num w:numId="29" w16cid:durableId="353384046">
    <w:abstractNumId w:val="0"/>
  </w:num>
  <w:num w:numId="30" w16cid:durableId="720322531">
    <w:abstractNumId w:val="12"/>
  </w:num>
  <w:num w:numId="31" w16cid:durableId="191236542">
    <w:abstractNumId w:val="39"/>
  </w:num>
  <w:num w:numId="32" w16cid:durableId="627052115">
    <w:abstractNumId w:val="20"/>
  </w:num>
  <w:num w:numId="33" w16cid:durableId="624972339">
    <w:abstractNumId w:val="7"/>
  </w:num>
  <w:num w:numId="34" w16cid:durableId="1492519914">
    <w:abstractNumId w:val="15"/>
  </w:num>
  <w:num w:numId="35" w16cid:durableId="1722049152">
    <w:abstractNumId w:val="18"/>
  </w:num>
  <w:num w:numId="36" w16cid:durableId="1967542062">
    <w:abstractNumId w:val="10"/>
  </w:num>
  <w:num w:numId="37" w16cid:durableId="612711018">
    <w:abstractNumId w:val="24"/>
  </w:num>
  <w:num w:numId="38" w16cid:durableId="1627856064">
    <w:abstractNumId w:val="16"/>
  </w:num>
  <w:num w:numId="39" w16cid:durableId="1717849578">
    <w:abstractNumId w:val="13"/>
  </w:num>
  <w:num w:numId="40" w16cid:durableId="1670134237">
    <w:abstractNumId w:val="5"/>
  </w:num>
  <w:num w:numId="41" w16cid:durableId="1344238708">
    <w:abstractNumId w:val="17"/>
  </w:num>
  <w:num w:numId="42" w16cid:durableId="214565975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0NDO1NDczN7MAMpV0lIJTi4sz8/NACoxrAZBlkE0sAAAA"/>
  </w:docVars>
  <w:rsids>
    <w:rsidRoot w:val="00E677B3"/>
    <w:rsid w:val="00000628"/>
    <w:rsid w:val="0000297C"/>
    <w:rsid w:val="0000362D"/>
    <w:rsid w:val="00005149"/>
    <w:rsid w:val="00012BCD"/>
    <w:rsid w:val="00016254"/>
    <w:rsid w:val="00020183"/>
    <w:rsid w:val="00022718"/>
    <w:rsid w:val="000238BE"/>
    <w:rsid w:val="000339ED"/>
    <w:rsid w:val="000342ED"/>
    <w:rsid w:val="00044277"/>
    <w:rsid w:val="0004549A"/>
    <w:rsid w:val="0004639E"/>
    <w:rsid w:val="000464A9"/>
    <w:rsid w:val="00051862"/>
    <w:rsid w:val="000533DD"/>
    <w:rsid w:val="000549C7"/>
    <w:rsid w:val="000604B3"/>
    <w:rsid w:val="00061AF7"/>
    <w:rsid w:val="0007479A"/>
    <w:rsid w:val="000776AC"/>
    <w:rsid w:val="000839E5"/>
    <w:rsid w:val="00087B84"/>
    <w:rsid w:val="00087C39"/>
    <w:rsid w:val="00087EE7"/>
    <w:rsid w:val="00090D8E"/>
    <w:rsid w:val="00092E79"/>
    <w:rsid w:val="00095BDD"/>
    <w:rsid w:val="00097F56"/>
    <w:rsid w:val="000A10F1"/>
    <w:rsid w:val="000B0BF3"/>
    <w:rsid w:val="000B1137"/>
    <w:rsid w:val="000B32E0"/>
    <w:rsid w:val="000B57C1"/>
    <w:rsid w:val="000C32FB"/>
    <w:rsid w:val="000C3BFD"/>
    <w:rsid w:val="000C5387"/>
    <w:rsid w:val="000C732B"/>
    <w:rsid w:val="000D54CB"/>
    <w:rsid w:val="000D6EE8"/>
    <w:rsid w:val="000D7585"/>
    <w:rsid w:val="000E6F0B"/>
    <w:rsid w:val="000F43B0"/>
    <w:rsid w:val="000F5FB4"/>
    <w:rsid w:val="000F6807"/>
    <w:rsid w:val="001007DD"/>
    <w:rsid w:val="001023E7"/>
    <w:rsid w:val="001025D8"/>
    <w:rsid w:val="001058F6"/>
    <w:rsid w:val="00106925"/>
    <w:rsid w:val="00107A8F"/>
    <w:rsid w:val="00114972"/>
    <w:rsid w:val="00115604"/>
    <w:rsid w:val="00122B81"/>
    <w:rsid w:val="00122D75"/>
    <w:rsid w:val="0012390C"/>
    <w:rsid w:val="00123A49"/>
    <w:rsid w:val="001245BE"/>
    <w:rsid w:val="00145346"/>
    <w:rsid w:val="00146F2B"/>
    <w:rsid w:val="001510A9"/>
    <w:rsid w:val="00153113"/>
    <w:rsid w:val="00156370"/>
    <w:rsid w:val="0015743B"/>
    <w:rsid w:val="00173B46"/>
    <w:rsid w:val="0018093A"/>
    <w:rsid w:val="001809F4"/>
    <w:rsid w:val="00181935"/>
    <w:rsid w:val="00181D1C"/>
    <w:rsid w:val="00184D98"/>
    <w:rsid w:val="001903C9"/>
    <w:rsid w:val="00193086"/>
    <w:rsid w:val="00196116"/>
    <w:rsid w:val="001A5035"/>
    <w:rsid w:val="001A5486"/>
    <w:rsid w:val="001A57F6"/>
    <w:rsid w:val="001B166E"/>
    <w:rsid w:val="001C2A6C"/>
    <w:rsid w:val="001C432A"/>
    <w:rsid w:val="001C7A05"/>
    <w:rsid w:val="001D123C"/>
    <w:rsid w:val="001D70D7"/>
    <w:rsid w:val="001D7742"/>
    <w:rsid w:val="001E0ED5"/>
    <w:rsid w:val="001E63C7"/>
    <w:rsid w:val="001F5515"/>
    <w:rsid w:val="002173DA"/>
    <w:rsid w:val="00220708"/>
    <w:rsid w:val="00224392"/>
    <w:rsid w:val="00224D35"/>
    <w:rsid w:val="00231FCC"/>
    <w:rsid w:val="00234634"/>
    <w:rsid w:val="00237645"/>
    <w:rsid w:val="00241FAF"/>
    <w:rsid w:val="002429EC"/>
    <w:rsid w:val="0024451B"/>
    <w:rsid w:val="00246C31"/>
    <w:rsid w:val="00254608"/>
    <w:rsid w:val="00260792"/>
    <w:rsid w:val="002610A7"/>
    <w:rsid w:val="002622E4"/>
    <w:rsid w:val="002628D8"/>
    <w:rsid w:val="002649F5"/>
    <w:rsid w:val="00274C0C"/>
    <w:rsid w:val="00275E67"/>
    <w:rsid w:val="002808D7"/>
    <w:rsid w:val="002A0478"/>
    <w:rsid w:val="002A623D"/>
    <w:rsid w:val="002A66E3"/>
    <w:rsid w:val="002A70CB"/>
    <w:rsid w:val="002B055A"/>
    <w:rsid w:val="002B746B"/>
    <w:rsid w:val="002C5F50"/>
    <w:rsid w:val="002D292F"/>
    <w:rsid w:val="002D553F"/>
    <w:rsid w:val="002D7987"/>
    <w:rsid w:val="002E698C"/>
    <w:rsid w:val="002E7313"/>
    <w:rsid w:val="003062F9"/>
    <w:rsid w:val="00307D5D"/>
    <w:rsid w:val="00307F6F"/>
    <w:rsid w:val="00315A69"/>
    <w:rsid w:val="00316F08"/>
    <w:rsid w:val="00320307"/>
    <w:rsid w:val="00321E1C"/>
    <w:rsid w:val="00324D5E"/>
    <w:rsid w:val="003408D2"/>
    <w:rsid w:val="003427BA"/>
    <w:rsid w:val="00354EA6"/>
    <w:rsid w:val="0036064D"/>
    <w:rsid w:val="0036331A"/>
    <w:rsid w:val="00363963"/>
    <w:rsid w:val="00364B5C"/>
    <w:rsid w:val="003762B5"/>
    <w:rsid w:val="003814B8"/>
    <w:rsid w:val="003843CF"/>
    <w:rsid w:val="00391DBF"/>
    <w:rsid w:val="00392D3F"/>
    <w:rsid w:val="00393606"/>
    <w:rsid w:val="0039416D"/>
    <w:rsid w:val="00397640"/>
    <w:rsid w:val="003A155B"/>
    <w:rsid w:val="003A18CE"/>
    <w:rsid w:val="003A2951"/>
    <w:rsid w:val="003A2B59"/>
    <w:rsid w:val="003A47D1"/>
    <w:rsid w:val="003D5CAA"/>
    <w:rsid w:val="003D7393"/>
    <w:rsid w:val="003E3ABE"/>
    <w:rsid w:val="003E7299"/>
    <w:rsid w:val="003E7AE6"/>
    <w:rsid w:val="003F3094"/>
    <w:rsid w:val="003F408B"/>
    <w:rsid w:val="003F7AAE"/>
    <w:rsid w:val="00400900"/>
    <w:rsid w:val="00401D13"/>
    <w:rsid w:val="00402347"/>
    <w:rsid w:val="00410E51"/>
    <w:rsid w:val="00413106"/>
    <w:rsid w:val="00414B1A"/>
    <w:rsid w:val="004227DF"/>
    <w:rsid w:val="00423D03"/>
    <w:rsid w:val="00427FE4"/>
    <w:rsid w:val="004300CE"/>
    <w:rsid w:val="00436832"/>
    <w:rsid w:val="00436AEB"/>
    <w:rsid w:val="00436E27"/>
    <w:rsid w:val="004408CD"/>
    <w:rsid w:val="004417BF"/>
    <w:rsid w:val="00442329"/>
    <w:rsid w:val="004446A9"/>
    <w:rsid w:val="00452898"/>
    <w:rsid w:val="004552B7"/>
    <w:rsid w:val="00455D63"/>
    <w:rsid w:val="00464BC7"/>
    <w:rsid w:val="0046686B"/>
    <w:rsid w:val="004832F3"/>
    <w:rsid w:val="00485F62"/>
    <w:rsid w:val="004906C2"/>
    <w:rsid w:val="004925C2"/>
    <w:rsid w:val="00495933"/>
    <w:rsid w:val="004A0978"/>
    <w:rsid w:val="004A0C26"/>
    <w:rsid w:val="004B2296"/>
    <w:rsid w:val="004B2904"/>
    <w:rsid w:val="004B2F67"/>
    <w:rsid w:val="004C1B6C"/>
    <w:rsid w:val="004C2E8D"/>
    <w:rsid w:val="004C3FAA"/>
    <w:rsid w:val="004C65FF"/>
    <w:rsid w:val="004C663A"/>
    <w:rsid w:val="004D36E6"/>
    <w:rsid w:val="004D5FAE"/>
    <w:rsid w:val="004D62C3"/>
    <w:rsid w:val="004D7609"/>
    <w:rsid w:val="004E1D2F"/>
    <w:rsid w:val="004E2F63"/>
    <w:rsid w:val="004E5A9B"/>
    <w:rsid w:val="004E7205"/>
    <w:rsid w:val="004F1B1D"/>
    <w:rsid w:val="004F3894"/>
    <w:rsid w:val="005037D9"/>
    <w:rsid w:val="00511EF4"/>
    <w:rsid w:val="00516856"/>
    <w:rsid w:val="00516CF4"/>
    <w:rsid w:val="005205A6"/>
    <w:rsid w:val="00520C65"/>
    <w:rsid w:val="00521AA0"/>
    <w:rsid w:val="0052361E"/>
    <w:rsid w:val="005250CD"/>
    <w:rsid w:val="005266B5"/>
    <w:rsid w:val="0053118A"/>
    <w:rsid w:val="00533EF6"/>
    <w:rsid w:val="0054027E"/>
    <w:rsid w:val="005528AD"/>
    <w:rsid w:val="00554561"/>
    <w:rsid w:val="005637ED"/>
    <w:rsid w:val="00567257"/>
    <w:rsid w:val="0057769B"/>
    <w:rsid w:val="00577AA1"/>
    <w:rsid w:val="0058268D"/>
    <w:rsid w:val="00584135"/>
    <w:rsid w:val="00584A5C"/>
    <w:rsid w:val="00595635"/>
    <w:rsid w:val="00597DCB"/>
    <w:rsid w:val="005A2281"/>
    <w:rsid w:val="005A36DE"/>
    <w:rsid w:val="005A44FA"/>
    <w:rsid w:val="005B2EA8"/>
    <w:rsid w:val="005B479B"/>
    <w:rsid w:val="005C0228"/>
    <w:rsid w:val="005C29C8"/>
    <w:rsid w:val="005C35A0"/>
    <w:rsid w:val="005C5EE6"/>
    <w:rsid w:val="005C5F58"/>
    <w:rsid w:val="005C6C11"/>
    <w:rsid w:val="005D0F5D"/>
    <w:rsid w:val="005D246D"/>
    <w:rsid w:val="005D73CD"/>
    <w:rsid w:val="005D7B38"/>
    <w:rsid w:val="005F61F4"/>
    <w:rsid w:val="005F702E"/>
    <w:rsid w:val="00600D58"/>
    <w:rsid w:val="00604D15"/>
    <w:rsid w:val="006068BE"/>
    <w:rsid w:val="006149C7"/>
    <w:rsid w:val="00620725"/>
    <w:rsid w:val="00622071"/>
    <w:rsid w:val="0062303B"/>
    <w:rsid w:val="00627532"/>
    <w:rsid w:val="006301D3"/>
    <w:rsid w:val="006311DC"/>
    <w:rsid w:val="00631475"/>
    <w:rsid w:val="00631EC5"/>
    <w:rsid w:val="00645798"/>
    <w:rsid w:val="00651B85"/>
    <w:rsid w:val="0065224B"/>
    <w:rsid w:val="0065415C"/>
    <w:rsid w:val="00656E9A"/>
    <w:rsid w:val="00666786"/>
    <w:rsid w:val="00687A86"/>
    <w:rsid w:val="006912C5"/>
    <w:rsid w:val="00692463"/>
    <w:rsid w:val="00692FEA"/>
    <w:rsid w:val="00696240"/>
    <w:rsid w:val="00697292"/>
    <w:rsid w:val="006A6688"/>
    <w:rsid w:val="006A66AA"/>
    <w:rsid w:val="006B5F15"/>
    <w:rsid w:val="006B7DE7"/>
    <w:rsid w:val="006C0230"/>
    <w:rsid w:val="006C0AB6"/>
    <w:rsid w:val="006C76F6"/>
    <w:rsid w:val="006D1C95"/>
    <w:rsid w:val="006D4508"/>
    <w:rsid w:val="006D6844"/>
    <w:rsid w:val="006D7460"/>
    <w:rsid w:val="006E1032"/>
    <w:rsid w:val="006E6C04"/>
    <w:rsid w:val="006E7A35"/>
    <w:rsid w:val="006F02E8"/>
    <w:rsid w:val="006F1373"/>
    <w:rsid w:val="006F6541"/>
    <w:rsid w:val="006F67CE"/>
    <w:rsid w:val="006F6A01"/>
    <w:rsid w:val="006F77A9"/>
    <w:rsid w:val="007000C9"/>
    <w:rsid w:val="007005AA"/>
    <w:rsid w:val="0070789D"/>
    <w:rsid w:val="00710E30"/>
    <w:rsid w:val="0071614B"/>
    <w:rsid w:val="007213A4"/>
    <w:rsid w:val="00723861"/>
    <w:rsid w:val="0072565F"/>
    <w:rsid w:val="007442CA"/>
    <w:rsid w:val="00753953"/>
    <w:rsid w:val="00755B4E"/>
    <w:rsid w:val="00756914"/>
    <w:rsid w:val="0076009D"/>
    <w:rsid w:val="0077491A"/>
    <w:rsid w:val="00774DFF"/>
    <w:rsid w:val="00781D5B"/>
    <w:rsid w:val="007838A7"/>
    <w:rsid w:val="00790D27"/>
    <w:rsid w:val="00791D86"/>
    <w:rsid w:val="00793A76"/>
    <w:rsid w:val="00796E56"/>
    <w:rsid w:val="007A23CC"/>
    <w:rsid w:val="007A5186"/>
    <w:rsid w:val="007A523F"/>
    <w:rsid w:val="007B1080"/>
    <w:rsid w:val="007B27F3"/>
    <w:rsid w:val="007B7E3B"/>
    <w:rsid w:val="007C1100"/>
    <w:rsid w:val="007C1E5B"/>
    <w:rsid w:val="007C53CB"/>
    <w:rsid w:val="007C62C7"/>
    <w:rsid w:val="007C6BAE"/>
    <w:rsid w:val="007D1086"/>
    <w:rsid w:val="007D36A2"/>
    <w:rsid w:val="007D4A89"/>
    <w:rsid w:val="007D6708"/>
    <w:rsid w:val="007E0A3E"/>
    <w:rsid w:val="007E636E"/>
    <w:rsid w:val="007F01E9"/>
    <w:rsid w:val="007F0A81"/>
    <w:rsid w:val="0080030C"/>
    <w:rsid w:val="0080079E"/>
    <w:rsid w:val="0080263E"/>
    <w:rsid w:val="008031F5"/>
    <w:rsid w:val="00805912"/>
    <w:rsid w:val="00806328"/>
    <w:rsid w:val="0081157F"/>
    <w:rsid w:val="00813CE0"/>
    <w:rsid w:val="00814989"/>
    <w:rsid w:val="00814FB0"/>
    <w:rsid w:val="0081678E"/>
    <w:rsid w:val="008177F0"/>
    <w:rsid w:val="00823A39"/>
    <w:rsid w:val="00825027"/>
    <w:rsid w:val="00825645"/>
    <w:rsid w:val="0082757E"/>
    <w:rsid w:val="00832179"/>
    <w:rsid w:val="00850CC0"/>
    <w:rsid w:val="00853A3F"/>
    <w:rsid w:val="0085522C"/>
    <w:rsid w:val="0086107E"/>
    <w:rsid w:val="008613E8"/>
    <w:rsid w:val="0086198A"/>
    <w:rsid w:val="0086418F"/>
    <w:rsid w:val="00864C94"/>
    <w:rsid w:val="00864D76"/>
    <w:rsid w:val="008715F8"/>
    <w:rsid w:val="0087679B"/>
    <w:rsid w:val="00882CE1"/>
    <w:rsid w:val="00882D5E"/>
    <w:rsid w:val="00883456"/>
    <w:rsid w:val="0088444B"/>
    <w:rsid w:val="00884EDF"/>
    <w:rsid w:val="00885433"/>
    <w:rsid w:val="00886807"/>
    <w:rsid w:val="008915AB"/>
    <w:rsid w:val="00895EFC"/>
    <w:rsid w:val="008A3491"/>
    <w:rsid w:val="008A658E"/>
    <w:rsid w:val="008A7A61"/>
    <w:rsid w:val="008B1DF2"/>
    <w:rsid w:val="008B2CAB"/>
    <w:rsid w:val="008B3A0C"/>
    <w:rsid w:val="008B430C"/>
    <w:rsid w:val="008B4719"/>
    <w:rsid w:val="008B7D3E"/>
    <w:rsid w:val="008C2B93"/>
    <w:rsid w:val="008D3A9B"/>
    <w:rsid w:val="008D618B"/>
    <w:rsid w:val="008D6973"/>
    <w:rsid w:val="008E1983"/>
    <w:rsid w:val="008E27E0"/>
    <w:rsid w:val="008E6D7A"/>
    <w:rsid w:val="008F24F1"/>
    <w:rsid w:val="008F27C3"/>
    <w:rsid w:val="008F4084"/>
    <w:rsid w:val="008F444C"/>
    <w:rsid w:val="00906929"/>
    <w:rsid w:val="0091033B"/>
    <w:rsid w:val="00913FBC"/>
    <w:rsid w:val="00932F24"/>
    <w:rsid w:val="00941512"/>
    <w:rsid w:val="00942379"/>
    <w:rsid w:val="0096297D"/>
    <w:rsid w:val="00963BCA"/>
    <w:rsid w:val="00970270"/>
    <w:rsid w:val="009714E2"/>
    <w:rsid w:val="009770B9"/>
    <w:rsid w:val="00982EB0"/>
    <w:rsid w:val="00983EBE"/>
    <w:rsid w:val="00990000"/>
    <w:rsid w:val="009A05BE"/>
    <w:rsid w:val="009A34CF"/>
    <w:rsid w:val="009B13BB"/>
    <w:rsid w:val="009B352E"/>
    <w:rsid w:val="009B4262"/>
    <w:rsid w:val="009C190F"/>
    <w:rsid w:val="009D086A"/>
    <w:rsid w:val="009D14F6"/>
    <w:rsid w:val="009D5756"/>
    <w:rsid w:val="009E459A"/>
    <w:rsid w:val="009F0888"/>
    <w:rsid w:val="009F2501"/>
    <w:rsid w:val="009F46B6"/>
    <w:rsid w:val="009F6B16"/>
    <w:rsid w:val="00A06ADD"/>
    <w:rsid w:val="00A138CE"/>
    <w:rsid w:val="00A16138"/>
    <w:rsid w:val="00A31F80"/>
    <w:rsid w:val="00A32B52"/>
    <w:rsid w:val="00A33076"/>
    <w:rsid w:val="00A33E9A"/>
    <w:rsid w:val="00A34726"/>
    <w:rsid w:val="00A46AA3"/>
    <w:rsid w:val="00A478DF"/>
    <w:rsid w:val="00A50312"/>
    <w:rsid w:val="00A551C6"/>
    <w:rsid w:val="00A63CD5"/>
    <w:rsid w:val="00A710B4"/>
    <w:rsid w:val="00A76830"/>
    <w:rsid w:val="00A76FE7"/>
    <w:rsid w:val="00A81E8A"/>
    <w:rsid w:val="00A82A12"/>
    <w:rsid w:val="00A84129"/>
    <w:rsid w:val="00AA10B3"/>
    <w:rsid w:val="00AA2663"/>
    <w:rsid w:val="00AA377D"/>
    <w:rsid w:val="00AA4F20"/>
    <w:rsid w:val="00AA572A"/>
    <w:rsid w:val="00AB5047"/>
    <w:rsid w:val="00AB7381"/>
    <w:rsid w:val="00AC1A31"/>
    <w:rsid w:val="00AC257A"/>
    <w:rsid w:val="00AD200D"/>
    <w:rsid w:val="00AD425E"/>
    <w:rsid w:val="00AE11DA"/>
    <w:rsid w:val="00AE120A"/>
    <w:rsid w:val="00AE31CD"/>
    <w:rsid w:val="00AE6A92"/>
    <w:rsid w:val="00B004A8"/>
    <w:rsid w:val="00B128FC"/>
    <w:rsid w:val="00B13705"/>
    <w:rsid w:val="00B145BD"/>
    <w:rsid w:val="00B15F66"/>
    <w:rsid w:val="00B21D50"/>
    <w:rsid w:val="00B33AC5"/>
    <w:rsid w:val="00B370A1"/>
    <w:rsid w:val="00B452D2"/>
    <w:rsid w:val="00B45D3B"/>
    <w:rsid w:val="00B566C2"/>
    <w:rsid w:val="00B73BB5"/>
    <w:rsid w:val="00B766FE"/>
    <w:rsid w:val="00B8011C"/>
    <w:rsid w:val="00B81215"/>
    <w:rsid w:val="00B93B19"/>
    <w:rsid w:val="00BA0BF6"/>
    <w:rsid w:val="00BA277A"/>
    <w:rsid w:val="00BA7557"/>
    <w:rsid w:val="00BB18EB"/>
    <w:rsid w:val="00BB1C85"/>
    <w:rsid w:val="00BB3694"/>
    <w:rsid w:val="00BC0E6E"/>
    <w:rsid w:val="00BC69EF"/>
    <w:rsid w:val="00BD26AC"/>
    <w:rsid w:val="00BD6F9B"/>
    <w:rsid w:val="00BE0236"/>
    <w:rsid w:val="00BE6574"/>
    <w:rsid w:val="00BE6A9A"/>
    <w:rsid w:val="00BE6AF8"/>
    <w:rsid w:val="00BF083E"/>
    <w:rsid w:val="00BF19C8"/>
    <w:rsid w:val="00BF514B"/>
    <w:rsid w:val="00BF67E1"/>
    <w:rsid w:val="00BF7970"/>
    <w:rsid w:val="00C02765"/>
    <w:rsid w:val="00C073CD"/>
    <w:rsid w:val="00C07E93"/>
    <w:rsid w:val="00C1260A"/>
    <w:rsid w:val="00C1470D"/>
    <w:rsid w:val="00C14E6A"/>
    <w:rsid w:val="00C21228"/>
    <w:rsid w:val="00C245EF"/>
    <w:rsid w:val="00C27098"/>
    <w:rsid w:val="00C36E3E"/>
    <w:rsid w:val="00C41748"/>
    <w:rsid w:val="00C42DA3"/>
    <w:rsid w:val="00C43454"/>
    <w:rsid w:val="00C51405"/>
    <w:rsid w:val="00C51C50"/>
    <w:rsid w:val="00C557B3"/>
    <w:rsid w:val="00C60040"/>
    <w:rsid w:val="00C60295"/>
    <w:rsid w:val="00C603A7"/>
    <w:rsid w:val="00C61DE5"/>
    <w:rsid w:val="00C66692"/>
    <w:rsid w:val="00C6759D"/>
    <w:rsid w:val="00C74254"/>
    <w:rsid w:val="00C76019"/>
    <w:rsid w:val="00C770E4"/>
    <w:rsid w:val="00C909DC"/>
    <w:rsid w:val="00CA69C0"/>
    <w:rsid w:val="00CC282A"/>
    <w:rsid w:val="00CC7500"/>
    <w:rsid w:val="00CD0CEA"/>
    <w:rsid w:val="00CD13BC"/>
    <w:rsid w:val="00CD49E2"/>
    <w:rsid w:val="00CD6AB8"/>
    <w:rsid w:val="00CE1962"/>
    <w:rsid w:val="00CE2453"/>
    <w:rsid w:val="00CF4E83"/>
    <w:rsid w:val="00D02FDF"/>
    <w:rsid w:val="00D12B5A"/>
    <w:rsid w:val="00D153FA"/>
    <w:rsid w:val="00D217CE"/>
    <w:rsid w:val="00D22D09"/>
    <w:rsid w:val="00D2379A"/>
    <w:rsid w:val="00D30B7D"/>
    <w:rsid w:val="00D3465A"/>
    <w:rsid w:val="00D348E1"/>
    <w:rsid w:val="00D4054B"/>
    <w:rsid w:val="00D477AE"/>
    <w:rsid w:val="00D56F0C"/>
    <w:rsid w:val="00D65FEA"/>
    <w:rsid w:val="00D67FCE"/>
    <w:rsid w:val="00D7077B"/>
    <w:rsid w:val="00D716FC"/>
    <w:rsid w:val="00D76E29"/>
    <w:rsid w:val="00D76ED6"/>
    <w:rsid w:val="00D81C45"/>
    <w:rsid w:val="00D83403"/>
    <w:rsid w:val="00D86699"/>
    <w:rsid w:val="00D87F45"/>
    <w:rsid w:val="00D92C59"/>
    <w:rsid w:val="00D95A8C"/>
    <w:rsid w:val="00DB0C80"/>
    <w:rsid w:val="00DB3158"/>
    <w:rsid w:val="00DB33BC"/>
    <w:rsid w:val="00DB3D9F"/>
    <w:rsid w:val="00DB7840"/>
    <w:rsid w:val="00DB7F84"/>
    <w:rsid w:val="00DC210C"/>
    <w:rsid w:val="00DC37CB"/>
    <w:rsid w:val="00DC76EA"/>
    <w:rsid w:val="00DD1BFE"/>
    <w:rsid w:val="00DE2E7A"/>
    <w:rsid w:val="00DE7E65"/>
    <w:rsid w:val="00DF2BF9"/>
    <w:rsid w:val="00E016F8"/>
    <w:rsid w:val="00E04DDF"/>
    <w:rsid w:val="00E14F01"/>
    <w:rsid w:val="00E16931"/>
    <w:rsid w:val="00E200F8"/>
    <w:rsid w:val="00E21E5D"/>
    <w:rsid w:val="00E23F7C"/>
    <w:rsid w:val="00E27D8B"/>
    <w:rsid w:val="00E32A3E"/>
    <w:rsid w:val="00E339CE"/>
    <w:rsid w:val="00E352BA"/>
    <w:rsid w:val="00E4238D"/>
    <w:rsid w:val="00E5117F"/>
    <w:rsid w:val="00E52D91"/>
    <w:rsid w:val="00E53BD6"/>
    <w:rsid w:val="00E60D33"/>
    <w:rsid w:val="00E677B3"/>
    <w:rsid w:val="00E804F5"/>
    <w:rsid w:val="00E847DD"/>
    <w:rsid w:val="00E8639A"/>
    <w:rsid w:val="00E86AA9"/>
    <w:rsid w:val="00E87025"/>
    <w:rsid w:val="00E90A7B"/>
    <w:rsid w:val="00E91D10"/>
    <w:rsid w:val="00E931CA"/>
    <w:rsid w:val="00E9681F"/>
    <w:rsid w:val="00EA6DCB"/>
    <w:rsid w:val="00EB031C"/>
    <w:rsid w:val="00EB1FAF"/>
    <w:rsid w:val="00EB4399"/>
    <w:rsid w:val="00EB4565"/>
    <w:rsid w:val="00EB5DCF"/>
    <w:rsid w:val="00EC13D3"/>
    <w:rsid w:val="00EC32FA"/>
    <w:rsid w:val="00EC331E"/>
    <w:rsid w:val="00EC37DB"/>
    <w:rsid w:val="00EC6859"/>
    <w:rsid w:val="00ED1248"/>
    <w:rsid w:val="00ED495C"/>
    <w:rsid w:val="00EE054D"/>
    <w:rsid w:val="00EE05A0"/>
    <w:rsid w:val="00EE1736"/>
    <w:rsid w:val="00EE19D4"/>
    <w:rsid w:val="00EE34E3"/>
    <w:rsid w:val="00EE3647"/>
    <w:rsid w:val="00EE5C68"/>
    <w:rsid w:val="00EE659B"/>
    <w:rsid w:val="00EF01AC"/>
    <w:rsid w:val="00EF28CD"/>
    <w:rsid w:val="00F042F6"/>
    <w:rsid w:val="00F054C3"/>
    <w:rsid w:val="00F06E65"/>
    <w:rsid w:val="00F10A05"/>
    <w:rsid w:val="00F20727"/>
    <w:rsid w:val="00F21042"/>
    <w:rsid w:val="00F241D7"/>
    <w:rsid w:val="00F33D50"/>
    <w:rsid w:val="00F34C3E"/>
    <w:rsid w:val="00F36460"/>
    <w:rsid w:val="00F4209B"/>
    <w:rsid w:val="00F4366B"/>
    <w:rsid w:val="00F45F2E"/>
    <w:rsid w:val="00F54055"/>
    <w:rsid w:val="00F55402"/>
    <w:rsid w:val="00F55B20"/>
    <w:rsid w:val="00F61D68"/>
    <w:rsid w:val="00F652F4"/>
    <w:rsid w:val="00F70493"/>
    <w:rsid w:val="00F767D5"/>
    <w:rsid w:val="00F85DC1"/>
    <w:rsid w:val="00F8773C"/>
    <w:rsid w:val="00F93669"/>
    <w:rsid w:val="00FA646C"/>
    <w:rsid w:val="00FB62CF"/>
    <w:rsid w:val="00FC2676"/>
    <w:rsid w:val="00FC2CED"/>
    <w:rsid w:val="00FC5EDF"/>
    <w:rsid w:val="00FD0F77"/>
    <w:rsid w:val="00FD2495"/>
    <w:rsid w:val="00FD3315"/>
    <w:rsid w:val="00FD347C"/>
    <w:rsid w:val="00FD53D4"/>
    <w:rsid w:val="00FE3648"/>
    <w:rsid w:val="00FE674B"/>
    <w:rsid w:val="00FF2DF2"/>
    <w:rsid w:val="013774D0"/>
    <w:rsid w:val="0145CDE4"/>
    <w:rsid w:val="02666A10"/>
    <w:rsid w:val="0466478F"/>
    <w:rsid w:val="05168E1B"/>
    <w:rsid w:val="068B1662"/>
    <w:rsid w:val="07A1B893"/>
    <w:rsid w:val="07AD2F4A"/>
    <w:rsid w:val="07BEE929"/>
    <w:rsid w:val="08D87DFB"/>
    <w:rsid w:val="0A0EB0DC"/>
    <w:rsid w:val="0B00628A"/>
    <w:rsid w:val="0C04ACC4"/>
    <w:rsid w:val="0C62E79F"/>
    <w:rsid w:val="0CED9ADB"/>
    <w:rsid w:val="0D30E41B"/>
    <w:rsid w:val="0E1EE315"/>
    <w:rsid w:val="0FA80277"/>
    <w:rsid w:val="1038E791"/>
    <w:rsid w:val="105CC56C"/>
    <w:rsid w:val="10E1BA21"/>
    <w:rsid w:val="12357D39"/>
    <w:rsid w:val="1465DA28"/>
    <w:rsid w:val="14D9892B"/>
    <w:rsid w:val="16AC19EC"/>
    <w:rsid w:val="17BA9E5B"/>
    <w:rsid w:val="18067E8F"/>
    <w:rsid w:val="184BD77A"/>
    <w:rsid w:val="195D35C6"/>
    <w:rsid w:val="1D43FCA4"/>
    <w:rsid w:val="1D53732E"/>
    <w:rsid w:val="1DE19AE0"/>
    <w:rsid w:val="200B83C4"/>
    <w:rsid w:val="20458589"/>
    <w:rsid w:val="20DB32C1"/>
    <w:rsid w:val="223E6D41"/>
    <w:rsid w:val="2324DB9D"/>
    <w:rsid w:val="286E830D"/>
    <w:rsid w:val="29F16882"/>
    <w:rsid w:val="2A201C11"/>
    <w:rsid w:val="2A9A3139"/>
    <w:rsid w:val="2B42DC9A"/>
    <w:rsid w:val="2BEFCBA1"/>
    <w:rsid w:val="2C3666F7"/>
    <w:rsid w:val="2DAE03E7"/>
    <w:rsid w:val="2DDB26C2"/>
    <w:rsid w:val="2E6AB464"/>
    <w:rsid w:val="2EF8E7D0"/>
    <w:rsid w:val="2FC7D735"/>
    <w:rsid w:val="3163A796"/>
    <w:rsid w:val="32A85529"/>
    <w:rsid w:val="34887263"/>
    <w:rsid w:val="36A1C99A"/>
    <w:rsid w:val="37B7F02F"/>
    <w:rsid w:val="3955911E"/>
    <w:rsid w:val="3A5DB46D"/>
    <w:rsid w:val="3A69A546"/>
    <w:rsid w:val="3AAEC16C"/>
    <w:rsid w:val="3EC032F3"/>
    <w:rsid w:val="3EE446D0"/>
    <w:rsid w:val="3FE9A630"/>
    <w:rsid w:val="40A58935"/>
    <w:rsid w:val="425FDCAD"/>
    <w:rsid w:val="42D9284C"/>
    <w:rsid w:val="439094AB"/>
    <w:rsid w:val="439DB426"/>
    <w:rsid w:val="43A7A657"/>
    <w:rsid w:val="4544DD33"/>
    <w:rsid w:val="467C4501"/>
    <w:rsid w:val="46C97E70"/>
    <w:rsid w:val="475D1C30"/>
    <w:rsid w:val="49671B58"/>
    <w:rsid w:val="49A5816C"/>
    <w:rsid w:val="4AA853E2"/>
    <w:rsid w:val="4B02EBB9"/>
    <w:rsid w:val="4D32E604"/>
    <w:rsid w:val="4DE0F1A5"/>
    <w:rsid w:val="4FF44F77"/>
    <w:rsid w:val="52BFC6C7"/>
    <w:rsid w:val="52E16ED8"/>
    <w:rsid w:val="540E47A7"/>
    <w:rsid w:val="547F11F1"/>
    <w:rsid w:val="54F55513"/>
    <w:rsid w:val="552CCC1C"/>
    <w:rsid w:val="5749A614"/>
    <w:rsid w:val="5812C965"/>
    <w:rsid w:val="5A1411B9"/>
    <w:rsid w:val="5A7D892B"/>
    <w:rsid w:val="5B4A6A27"/>
    <w:rsid w:val="5DE8A7A1"/>
    <w:rsid w:val="5F145408"/>
    <w:rsid w:val="63F79F3C"/>
    <w:rsid w:val="649EB08B"/>
    <w:rsid w:val="67ED48C9"/>
    <w:rsid w:val="68917611"/>
    <w:rsid w:val="69F487A8"/>
    <w:rsid w:val="6A4704A6"/>
    <w:rsid w:val="6CE9062E"/>
    <w:rsid w:val="75E9874D"/>
    <w:rsid w:val="77B8EC59"/>
    <w:rsid w:val="78909292"/>
    <w:rsid w:val="794003E5"/>
    <w:rsid w:val="79486039"/>
    <w:rsid w:val="7A452525"/>
    <w:rsid w:val="7A9C5393"/>
    <w:rsid w:val="7C770B3D"/>
    <w:rsid w:val="7DAA8737"/>
    <w:rsid w:val="7DB70E4D"/>
    <w:rsid w:val="7DD3F455"/>
    <w:rsid w:val="7F21DBC0"/>
    <w:rsid w:val="7F499ACD"/>
    <w:rsid w:val="7F6F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E6E7C"/>
  <w15:chartTrackingRefBased/>
  <w15:docId w15:val="{FEAEDDE1-215A-4485-8B4F-D565E8DD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CH" w:eastAsia="en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694"/>
    <w:pPr>
      <w:keepNext/>
      <w:keepLines/>
      <w:spacing w:before="240" w:after="0"/>
      <w:jc w:val="center"/>
      <w:outlineLvl w:val="0"/>
    </w:pPr>
    <w:rPr>
      <w:rFonts w:ascii="Museo Slab 500" w:eastAsiaTheme="majorEastAsia" w:hAnsi="Museo Slab 500" w:cstheme="majorBidi"/>
      <w:color w:val="D60028"/>
      <w:sz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45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77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77B3"/>
  </w:style>
  <w:style w:type="paragraph" w:styleId="Footer">
    <w:name w:val="footer"/>
    <w:basedOn w:val="Normal"/>
    <w:link w:val="FooterChar"/>
    <w:uiPriority w:val="99"/>
    <w:semiHidden/>
    <w:unhideWhenUsed/>
    <w:rsid w:val="00E677B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77B3"/>
  </w:style>
  <w:style w:type="table" w:styleId="TableGrid">
    <w:name w:val="Table Grid"/>
    <w:basedOn w:val="TableNormal"/>
    <w:uiPriority w:val="39"/>
    <w:rsid w:val="00E677B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B3694"/>
    <w:rPr>
      <w:rFonts w:ascii="Museo Slab 500" w:eastAsiaTheme="majorEastAsia" w:hAnsi="Museo Slab 500" w:cstheme="majorBidi"/>
      <w:color w:val="D60028"/>
      <w:sz w:val="36"/>
    </w:rPr>
  </w:style>
  <w:style w:type="paragraph" w:styleId="NoSpacing">
    <w:name w:val="No Spacing"/>
    <w:uiPriority w:val="1"/>
    <w:qFormat/>
    <w:rsid w:val="004C65FF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D217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AA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A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6E7A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4129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412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12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12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4129"/>
    <w:rPr>
      <w:b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F0888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0888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F08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0888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888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888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4508"/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7B7E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7E3B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254608"/>
  </w:style>
  <w:style w:type="character" w:customStyle="1" w:styleId="findhit">
    <w:name w:val="findhit"/>
    <w:basedOn w:val="DefaultParagraphFont"/>
    <w:rsid w:val="00254608"/>
  </w:style>
  <w:style w:type="character" w:customStyle="1" w:styleId="eop">
    <w:name w:val="eop"/>
    <w:basedOn w:val="DefaultParagraphFont"/>
    <w:rsid w:val="00254608"/>
  </w:style>
  <w:style w:type="paragraph" w:styleId="Revision">
    <w:name w:val="Revision"/>
    <w:hidden/>
    <w:uiPriority w:val="99"/>
    <w:semiHidden/>
    <w:rsid w:val="00753953"/>
    <w:pPr>
      <w:spacing w:after="0" w:line="240" w:lineRule="auto"/>
    </w:pPr>
  </w:style>
  <w:style w:type="paragraph" w:customStyle="1" w:styleId="P68B1DB1-Normal1">
    <w:name w:val="P68B1DB1-Normal1"/>
    <w:basedOn w:val="Normal"/>
    <w:rPr>
      <w:rFonts w:ascii="Carlito" w:eastAsia="Carlito" w:hAnsi="Carlito" w:cs="Carlito"/>
      <w:b/>
      <w:i/>
      <w:sz w:val="24"/>
    </w:rPr>
  </w:style>
  <w:style w:type="paragraph" w:customStyle="1" w:styleId="P68B1DB1-Normal2">
    <w:name w:val="P68B1DB1-Normal2"/>
    <w:basedOn w:val="Normal"/>
    <w:rPr>
      <w:b/>
    </w:rPr>
  </w:style>
  <w:style w:type="paragraph" w:customStyle="1" w:styleId="P68B1DB1-Normal3">
    <w:name w:val="P68B1DB1-Normal3"/>
    <w:basedOn w:val="Normal"/>
    <w:rPr>
      <w:u w:val="single"/>
    </w:rPr>
  </w:style>
  <w:style w:type="paragraph" w:customStyle="1" w:styleId="P68B1DB1-Normal4">
    <w:name w:val="P68B1DB1-Normal4"/>
    <w:basedOn w:val="Normal"/>
    <w:rPr>
      <w:rFonts w:eastAsiaTheme="minorHAnsi"/>
    </w:rPr>
  </w:style>
  <w:style w:type="paragraph" w:customStyle="1" w:styleId="P68B1DB1-ListParagraph5">
    <w:name w:val="P68B1DB1-ListParagraph5"/>
    <w:basedOn w:val="ListParagraph"/>
    <w:rPr>
      <w:rFonts w:eastAsiaTheme="minorHAnsi"/>
    </w:rPr>
  </w:style>
  <w:style w:type="paragraph" w:customStyle="1" w:styleId="P68B1DB1-Normal6">
    <w:name w:val="P68B1DB1-Normal6"/>
    <w:basedOn w:val="Normal"/>
    <w:rPr>
      <w:rFonts w:eastAsiaTheme="minorHAnsi"/>
      <w:b/>
    </w:rPr>
  </w:style>
  <w:style w:type="paragraph" w:customStyle="1" w:styleId="P68B1DB1-Normal7">
    <w:name w:val="P68B1DB1-Normal7"/>
    <w:basedOn w:val="Normal"/>
    <w:rPr>
      <w:rFonts w:eastAsiaTheme="minorHAnsi"/>
      <w:u w:val="single"/>
    </w:rPr>
  </w:style>
  <w:style w:type="paragraph" w:customStyle="1" w:styleId="P68B1DB1-ListParagraph8">
    <w:name w:val="P68B1DB1-ListParagraph8"/>
    <w:basedOn w:val="ListParagraph"/>
    <w:rPr>
      <w:rFonts w:ascii="Calibri" w:eastAsia="Calibri" w:hAnsi="Calibri" w:cs="Calibri"/>
      <w:color w:val="000000" w:themeColor="text1"/>
    </w:rPr>
  </w:style>
  <w:style w:type="paragraph" w:customStyle="1" w:styleId="P68B1DB1-BodyText2">
    <w:name w:val="P68B1DB1-BodyText2"/>
    <w:basedOn w:val="BodyText"/>
    <w:rsid w:val="00EE17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b/>
      <w:i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E17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1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optb.org/sites/default/files/gdfdiagnosticsmedicaldevotherhealthproductscatalog_0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16766a-56c0-4c7a-96fe-998da8001e7f">
      <UserInfo>
        <DisplayName>Zhi Zhen Qin</DisplayName>
        <AccountId>32</AccountId>
        <AccountType/>
      </UserInfo>
      <UserInfo>
        <DisplayName>Marina Smelyanskaya</DisplayName>
        <AccountId>35</AccountId>
        <AccountType/>
      </UserInfo>
      <UserInfo>
        <DisplayName>Amera Khan</DisplayName>
        <AccountId>34</AccountId>
        <AccountType/>
      </UserInfo>
      <UserInfo>
        <DisplayName>Jacob Creswell</DisplayName>
        <AccountId>31</AccountId>
        <AccountType/>
      </UserInfo>
      <UserInfo>
        <DisplayName>Pauline Vandewalle</DisplayName>
        <AccountId>161</AccountId>
        <AccountType/>
      </UserInfo>
    </SharedWithUsers>
    <PublishingExpirationDate xmlns="http://schemas.microsoft.com/sharepoint/v3" xsi:nil="true"/>
    <PublishingStartDate xmlns="http://schemas.microsoft.com/sharepoint/v3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4cf32ef5-77b5-4ac5-bc64-0a897a2173f7">
      <Terms xmlns="http://schemas.microsoft.com/office/infopath/2007/PartnerControls"/>
    </lcf76f155ced4ddcb4097134ff3c332f>
    <TaxCatchAll xmlns="8316766a-56c0-4c7a-96fe-998da8001e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ADE42C9FB1346B907865A1D903594" ma:contentTypeVersion="20" ma:contentTypeDescription="Create a new document." ma:contentTypeScope="" ma:versionID="ffa5c6e7c94f5e0cb7fe9d5993cbc4ac">
  <xsd:schema xmlns:xsd="http://www.w3.org/2001/XMLSchema" xmlns:xs="http://www.w3.org/2001/XMLSchema" xmlns:p="http://schemas.microsoft.com/office/2006/metadata/properties" xmlns:ns1="http://schemas.microsoft.com/sharepoint/v3" xmlns:ns2="4cf32ef5-77b5-4ac5-bc64-0a897a2173f7" xmlns:ns3="8316766a-56c0-4c7a-96fe-998da8001e7f" targetNamespace="http://schemas.microsoft.com/office/2006/metadata/properties" ma:root="true" ma:fieldsID="d3b6dc43422992072f74ce04dce9df0d" ns1:_="" ns2:_="" ns3:_="">
    <xsd:import namespace="http://schemas.microsoft.com/sharepoint/v3"/>
    <xsd:import namespace="4cf32ef5-77b5-4ac5-bc64-0a897a2173f7"/>
    <xsd:import namespace="8316766a-56c0-4c7a-96fe-998da8001e7f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32ef5-77b5-4ac5-bc64-0a897a217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8c7ceef-f2b0-4869-8dd2-99de07b744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6766a-56c0-4c7a-96fe-998da8001e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48401384-fb84-4142-a3ef-20bfa981b121}" ma:internalName="TaxCatchAll" ma:showField="CatchAllData" ma:web="8316766a-56c0-4c7a-96fe-998da8001e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DF5-FDEC-46EF-A9BC-3FCD3335E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C1D5A-C017-45B6-B94A-CE521D22F806}">
  <ds:schemaRefs>
    <ds:schemaRef ds:uri="http://schemas.microsoft.com/office/2006/metadata/properties"/>
    <ds:schemaRef ds:uri="http://schemas.microsoft.com/office/infopath/2007/PartnerControls"/>
    <ds:schemaRef ds:uri="8316766a-56c0-4c7a-96fe-998da8001e7f"/>
    <ds:schemaRef ds:uri="http://schemas.microsoft.com/sharepoint/v3"/>
    <ds:schemaRef ds:uri="4cf32ef5-77b5-4ac5-bc64-0a897a2173f7"/>
  </ds:schemaRefs>
</ds:datastoreItem>
</file>

<file path=customXml/itemProps3.xml><?xml version="1.0" encoding="utf-8"?>
<ds:datastoreItem xmlns:ds="http://schemas.openxmlformats.org/officeDocument/2006/customXml" ds:itemID="{C49F8D7F-FF1D-4DCB-A5B6-68D626813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f32ef5-77b5-4ac5-bc64-0a897a2173f7"/>
    <ds:schemaRef ds:uri="8316766a-56c0-4c7a-96fe-998da8001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E6EF72-8BC6-4B29-AE95-56D8385B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Toufiq Rahman</dc:creator>
  <cp:keywords/>
  <dc:description/>
  <cp:lastModifiedBy>Jurgen Boquin</cp:lastModifiedBy>
  <cp:revision>10</cp:revision>
  <cp:lastPrinted>2019-02-14T08:30:00Z</cp:lastPrinted>
  <dcterms:created xsi:type="dcterms:W3CDTF">2023-11-05T21:36:00Z</dcterms:created>
  <dcterms:modified xsi:type="dcterms:W3CDTF">2023-11-16T08:26:00Z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0x010100AA6ADE42C9FB1346B907865A1D903594</vt:lpwstr>
  </property>
  <property fmtid="{D5CDD505-2E9C-101B-9397-08002B2CF9AE}" pid="3" name="AuthorIds_UIVersion_4608">
    <vt:lpwstr>32</vt:lpwstr>
  </property>
  <property fmtid="{D5CDD505-2E9C-101B-9397-08002B2CF9AE}" pid="4" name="AuthorIds_UIVersion_3072">
    <vt:lpwstr>161</vt:lpwstr>
  </property>
  <property fmtid="{D5CDD505-2E9C-101B-9397-08002B2CF9AE}" pid="5" name="AuthorIds_UIVersion_512">
    <vt:lpwstr>32</vt:lpwstr>
  </property>
  <property fmtid="{D5CDD505-2E9C-101B-9397-08002B2CF9AE}" pid="6" name="MediaServiceImageTags">
    <vt:lpwstr/>
  </property>
</Properties>
</file>