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65" w:rsidRPr="004B7426" w:rsidRDefault="005E2A65" w:rsidP="005E2A65">
      <w:pPr>
        <w:jc w:val="right"/>
        <w:rPr>
          <w:lang w:val="en-US"/>
        </w:rPr>
      </w:pPr>
      <w:r w:rsidRPr="004B7426">
        <w:rPr>
          <w:lang w:val="en-US"/>
        </w:rPr>
        <w:t>Annex QA.1</w:t>
      </w:r>
    </w:p>
    <w:p w:rsidR="005E2A65" w:rsidRDefault="005E2A65">
      <w:pPr>
        <w:rPr>
          <w:b/>
          <w:bCs/>
          <w:lang w:val="en-US"/>
        </w:rPr>
      </w:pPr>
    </w:p>
    <w:p w:rsidR="00485EE4" w:rsidRPr="004B7426" w:rsidRDefault="00485EE4">
      <w:pPr>
        <w:rPr>
          <w:b/>
          <w:bCs/>
          <w:lang w:val="en-US"/>
        </w:rPr>
      </w:pPr>
    </w:p>
    <w:p w:rsidR="007929F5" w:rsidRPr="004B7426" w:rsidRDefault="005E2A65" w:rsidP="004B7426">
      <w:pPr>
        <w:jc w:val="center"/>
        <w:rPr>
          <w:b/>
          <w:bCs/>
          <w:lang w:val="en-US"/>
        </w:rPr>
      </w:pPr>
      <w:r w:rsidRPr="004B7426">
        <w:rPr>
          <w:b/>
          <w:bCs/>
          <w:lang w:val="en-US"/>
        </w:rPr>
        <w:t>LTA WHO/GDF – Procurement Agent</w:t>
      </w:r>
    </w:p>
    <w:p w:rsidR="005E2A65" w:rsidRPr="004B7426" w:rsidRDefault="005E2A65" w:rsidP="004B7426">
      <w:pPr>
        <w:jc w:val="center"/>
        <w:rPr>
          <w:b/>
          <w:bCs/>
          <w:lang w:val="en-US"/>
        </w:rPr>
      </w:pPr>
    </w:p>
    <w:p w:rsidR="005E2A65" w:rsidRPr="004B7426" w:rsidRDefault="001504D6" w:rsidP="001504D6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Indicative</w:t>
      </w:r>
      <w:r w:rsidR="004B7426" w:rsidRPr="004B7426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Draft</w:t>
      </w:r>
      <w:r w:rsidR="004B7426" w:rsidRPr="004B7426">
        <w:rPr>
          <w:b/>
          <w:bCs/>
          <w:lang w:val="en-US"/>
        </w:rPr>
        <w:t xml:space="preserve"> </w:t>
      </w:r>
      <w:r w:rsidR="005E2A65" w:rsidRPr="004B7426">
        <w:rPr>
          <w:b/>
          <w:bCs/>
          <w:lang w:val="en-US"/>
        </w:rPr>
        <w:t>Structure</w:t>
      </w:r>
    </w:p>
    <w:p w:rsidR="005E2A65" w:rsidRDefault="005E2A65">
      <w:pPr>
        <w:rPr>
          <w:sz w:val="20"/>
          <w:lang w:val="en-US"/>
        </w:rPr>
      </w:pPr>
    </w:p>
    <w:p w:rsidR="004B7426" w:rsidRDefault="004B7426">
      <w:pPr>
        <w:rPr>
          <w:sz w:val="20"/>
          <w:lang w:val="en-US"/>
        </w:rPr>
      </w:pPr>
    </w:p>
    <w:p w:rsidR="00485EE4" w:rsidRPr="004B7426" w:rsidRDefault="00485EE4">
      <w:pPr>
        <w:rPr>
          <w:sz w:val="20"/>
          <w:lang w:val="en-US"/>
        </w:rPr>
      </w:pPr>
    </w:p>
    <w:p w:rsidR="00485EE4" w:rsidRDefault="00485EE4" w:rsidP="00485EE4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sz w:val="20"/>
          <w:lang w:val="en-US"/>
        </w:rPr>
      </w:pPr>
      <w:r>
        <w:rPr>
          <w:sz w:val="20"/>
          <w:lang w:val="en-US"/>
        </w:rPr>
        <w:t>Cover / Parties</w:t>
      </w:r>
    </w:p>
    <w:p w:rsidR="005E2A65" w:rsidRPr="004B7426" w:rsidRDefault="005E2A65" w:rsidP="00485EE4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sz w:val="20"/>
          <w:lang w:val="en-US"/>
        </w:rPr>
      </w:pPr>
      <w:proofErr w:type="spellStart"/>
      <w:r w:rsidRPr="004B7426">
        <w:rPr>
          <w:sz w:val="20"/>
          <w:lang w:val="en-US"/>
        </w:rPr>
        <w:t>Preambular</w:t>
      </w:r>
      <w:proofErr w:type="spellEnd"/>
      <w:r w:rsidRPr="004B7426">
        <w:rPr>
          <w:sz w:val="20"/>
          <w:lang w:val="en-US"/>
        </w:rPr>
        <w:t xml:space="preserve"> clauses (“W</w:t>
      </w:r>
      <w:bookmarkStart w:id="0" w:name="_GoBack"/>
      <w:bookmarkEnd w:id="0"/>
      <w:r w:rsidRPr="004B7426">
        <w:rPr>
          <w:sz w:val="20"/>
          <w:lang w:val="en-US"/>
        </w:rPr>
        <w:t>HEREAS”)</w:t>
      </w:r>
    </w:p>
    <w:p w:rsidR="005E2A65" w:rsidRPr="004B7426" w:rsidRDefault="005E2A65" w:rsidP="00485EE4">
      <w:pPr>
        <w:pStyle w:val="Heading1"/>
        <w:keepNext w:val="0"/>
        <w:widowControl w:val="0"/>
        <w:numPr>
          <w:ilvl w:val="0"/>
          <w:numId w:val="3"/>
        </w:numPr>
        <w:spacing w:before="0" w:after="120"/>
        <w:ind w:left="360"/>
        <w:rPr>
          <w:b w:val="0"/>
          <w:sz w:val="20"/>
        </w:rPr>
      </w:pPr>
      <w:bookmarkStart w:id="1" w:name="_Ref286768902"/>
      <w:r w:rsidRPr="004B7426">
        <w:rPr>
          <w:b w:val="0"/>
          <w:sz w:val="20"/>
        </w:rPr>
        <w:t>Subject of Agreement and Definitions</w:t>
      </w:r>
      <w:bookmarkEnd w:id="1"/>
    </w:p>
    <w:p w:rsidR="005E2A65" w:rsidRPr="004B7426" w:rsidRDefault="005E2A65" w:rsidP="00485EE4">
      <w:pPr>
        <w:pStyle w:val="Heading1"/>
        <w:keepNext w:val="0"/>
        <w:numPr>
          <w:ilvl w:val="0"/>
          <w:numId w:val="3"/>
        </w:numPr>
        <w:spacing w:before="0" w:after="120"/>
        <w:ind w:left="360"/>
        <w:rPr>
          <w:b w:val="0"/>
          <w:sz w:val="20"/>
        </w:rPr>
      </w:pPr>
      <w:r w:rsidRPr="004B7426">
        <w:rPr>
          <w:b w:val="0"/>
          <w:sz w:val="20"/>
        </w:rPr>
        <w:t>Term of Agreement</w:t>
      </w:r>
    </w:p>
    <w:p w:rsidR="005E2A65" w:rsidRPr="004B7426" w:rsidRDefault="005E2A65" w:rsidP="00485EE4">
      <w:pPr>
        <w:pStyle w:val="Heading1"/>
        <w:keepNext w:val="0"/>
        <w:numPr>
          <w:ilvl w:val="0"/>
          <w:numId w:val="3"/>
        </w:numPr>
        <w:spacing w:before="0" w:after="120"/>
        <w:ind w:left="360"/>
        <w:rPr>
          <w:b w:val="0"/>
          <w:sz w:val="20"/>
        </w:rPr>
      </w:pPr>
      <w:r w:rsidRPr="004B7426">
        <w:rPr>
          <w:b w:val="0"/>
          <w:sz w:val="20"/>
        </w:rPr>
        <w:t>Elements of the Agreement</w:t>
      </w:r>
    </w:p>
    <w:p w:rsidR="004B7426" w:rsidRPr="004B7426" w:rsidRDefault="005E2A65" w:rsidP="00485EE4">
      <w:pPr>
        <w:pStyle w:val="Heading1"/>
        <w:keepNext w:val="0"/>
        <w:numPr>
          <w:ilvl w:val="0"/>
          <w:numId w:val="3"/>
        </w:numPr>
        <w:spacing w:before="0" w:after="120"/>
        <w:ind w:left="357" w:hanging="357"/>
        <w:rPr>
          <w:b w:val="0"/>
          <w:sz w:val="20"/>
        </w:rPr>
      </w:pPr>
      <w:bookmarkStart w:id="2" w:name="_Ref283820459"/>
      <w:r w:rsidRPr="004B7426">
        <w:rPr>
          <w:b w:val="0"/>
          <w:sz w:val="20"/>
        </w:rPr>
        <w:t>Purchase Orders under Agreement</w:t>
      </w:r>
      <w:bookmarkEnd w:id="2"/>
    </w:p>
    <w:p w:rsidR="005E2A65" w:rsidRPr="004B7426" w:rsidRDefault="005E2A65" w:rsidP="00485EE4">
      <w:pPr>
        <w:pStyle w:val="ListParagraph"/>
        <w:numPr>
          <w:ilvl w:val="0"/>
          <w:numId w:val="3"/>
        </w:numPr>
        <w:spacing w:after="120"/>
        <w:ind w:left="357" w:hanging="357"/>
        <w:contextualSpacing w:val="0"/>
        <w:rPr>
          <w:sz w:val="20"/>
          <w:lang w:val="en-US"/>
        </w:rPr>
      </w:pPr>
      <w:r w:rsidRPr="004B7426">
        <w:rPr>
          <w:sz w:val="20"/>
          <w:lang w:val="en-US"/>
        </w:rPr>
        <w:t>Stockpiles</w:t>
      </w:r>
    </w:p>
    <w:p w:rsidR="005E2A65" w:rsidRPr="004B7426" w:rsidRDefault="005E2A65" w:rsidP="00485EE4">
      <w:pPr>
        <w:pStyle w:val="Heading1"/>
        <w:keepNext w:val="0"/>
        <w:numPr>
          <w:ilvl w:val="0"/>
          <w:numId w:val="3"/>
        </w:numPr>
        <w:spacing w:before="0" w:after="120"/>
        <w:ind w:left="357" w:hanging="357"/>
        <w:rPr>
          <w:b w:val="0"/>
          <w:sz w:val="20"/>
        </w:rPr>
      </w:pPr>
      <w:r w:rsidRPr="004B7426">
        <w:rPr>
          <w:b w:val="0"/>
          <w:sz w:val="20"/>
        </w:rPr>
        <w:t>Quality Control Arrangements</w:t>
      </w:r>
    </w:p>
    <w:p w:rsidR="005E2A65" w:rsidRPr="004B7426" w:rsidRDefault="005E2A65" w:rsidP="00485EE4">
      <w:pPr>
        <w:pStyle w:val="Heading1"/>
        <w:keepNext w:val="0"/>
        <w:numPr>
          <w:ilvl w:val="0"/>
          <w:numId w:val="3"/>
        </w:numPr>
        <w:spacing w:before="0" w:after="120"/>
        <w:ind w:left="360"/>
        <w:rPr>
          <w:b w:val="0"/>
          <w:sz w:val="20"/>
        </w:rPr>
      </w:pPr>
      <w:r w:rsidRPr="004B7426">
        <w:rPr>
          <w:b w:val="0"/>
          <w:sz w:val="20"/>
        </w:rPr>
        <w:t>Arranging Shipment and Insurance</w:t>
      </w:r>
    </w:p>
    <w:p w:rsidR="005E2A65" w:rsidRPr="004B7426" w:rsidRDefault="005E2A65" w:rsidP="00485EE4">
      <w:pPr>
        <w:pStyle w:val="Heading1"/>
        <w:keepNext w:val="0"/>
        <w:numPr>
          <w:ilvl w:val="0"/>
          <w:numId w:val="3"/>
        </w:numPr>
        <w:spacing w:before="0" w:after="120"/>
        <w:ind w:left="360"/>
        <w:rPr>
          <w:b w:val="0"/>
          <w:sz w:val="20"/>
        </w:rPr>
      </w:pPr>
      <w:r w:rsidRPr="004B7426">
        <w:rPr>
          <w:b w:val="0"/>
          <w:sz w:val="20"/>
        </w:rPr>
        <w:t>Order Management and Action Point Tracking Systems</w:t>
      </w:r>
    </w:p>
    <w:p w:rsidR="005E2A65" w:rsidRPr="004B7426" w:rsidRDefault="005E2A65" w:rsidP="00485EE4">
      <w:pPr>
        <w:pStyle w:val="Heading1"/>
        <w:keepNext w:val="0"/>
        <w:widowControl w:val="0"/>
        <w:numPr>
          <w:ilvl w:val="0"/>
          <w:numId w:val="3"/>
        </w:numPr>
        <w:spacing w:before="0" w:after="120"/>
        <w:ind w:left="357" w:hanging="357"/>
        <w:rPr>
          <w:b w:val="0"/>
          <w:sz w:val="20"/>
        </w:rPr>
      </w:pPr>
      <w:r w:rsidRPr="004B7426">
        <w:rPr>
          <w:b w:val="0"/>
          <w:sz w:val="20"/>
        </w:rPr>
        <w:t>Tendering for Supplies and Long-term Agreements with Suppliers</w:t>
      </w:r>
    </w:p>
    <w:p w:rsidR="005E2A65" w:rsidRPr="004B7426" w:rsidRDefault="005E2A65" w:rsidP="00485EE4">
      <w:pPr>
        <w:pStyle w:val="Heading1"/>
        <w:keepNext w:val="0"/>
        <w:widowControl w:val="0"/>
        <w:numPr>
          <w:ilvl w:val="0"/>
          <w:numId w:val="3"/>
        </w:numPr>
        <w:spacing w:before="0" w:after="120"/>
        <w:ind w:left="357" w:hanging="357"/>
        <w:rPr>
          <w:b w:val="0"/>
          <w:sz w:val="20"/>
        </w:rPr>
      </w:pPr>
      <w:r w:rsidRPr="004B7426">
        <w:rPr>
          <w:b w:val="0"/>
          <w:sz w:val="20"/>
        </w:rPr>
        <w:t>Quality Assurance Standards; Product and Supplier Eligibility</w:t>
      </w:r>
    </w:p>
    <w:p w:rsidR="005E2A65" w:rsidRPr="004B7426" w:rsidRDefault="005E2A65" w:rsidP="00485EE4">
      <w:pPr>
        <w:pStyle w:val="Heading1"/>
        <w:keepNext w:val="0"/>
        <w:widowControl w:val="0"/>
        <w:numPr>
          <w:ilvl w:val="0"/>
          <w:numId w:val="3"/>
        </w:numPr>
        <w:spacing w:before="0" w:after="120"/>
        <w:ind w:left="357" w:hanging="357"/>
        <w:rPr>
          <w:b w:val="0"/>
          <w:sz w:val="20"/>
        </w:rPr>
      </w:pPr>
      <w:r w:rsidRPr="004B7426">
        <w:rPr>
          <w:b w:val="0"/>
          <w:sz w:val="20"/>
        </w:rPr>
        <w:t>Monitoring and Reporting</w:t>
      </w:r>
    </w:p>
    <w:p w:rsidR="005E2A65" w:rsidRPr="004B7426" w:rsidRDefault="005E2A65" w:rsidP="00485EE4">
      <w:pPr>
        <w:pStyle w:val="Heading1"/>
        <w:keepNext w:val="0"/>
        <w:widowControl w:val="0"/>
        <w:numPr>
          <w:ilvl w:val="0"/>
          <w:numId w:val="3"/>
        </w:numPr>
        <w:spacing w:before="0" w:after="120"/>
        <w:ind w:left="357" w:hanging="357"/>
        <w:rPr>
          <w:b w:val="0"/>
          <w:sz w:val="20"/>
        </w:rPr>
      </w:pPr>
      <w:r w:rsidRPr="004B7426">
        <w:rPr>
          <w:b w:val="0"/>
          <w:sz w:val="20"/>
        </w:rPr>
        <w:t>Standard Operating Procedures</w:t>
      </w:r>
    </w:p>
    <w:p w:rsidR="005E2A65" w:rsidRPr="004B7426" w:rsidRDefault="005E2A65" w:rsidP="00485EE4">
      <w:pPr>
        <w:pStyle w:val="Heading1"/>
        <w:keepNext w:val="0"/>
        <w:widowControl w:val="0"/>
        <w:numPr>
          <w:ilvl w:val="0"/>
          <w:numId w:val="3"/>
        </w:numPr>
        <w:spacing w:before="0" w:after="120"/>
        <w:ind w:left="357" w:hanging="357"/>
        <w:rPr>
          <w:b w:val="0"/>
          <w:sz w:val="20"/>
        </w:rPr>
      </w:pPr>
      <w:r w:rsidRPr="004B7426">
        <w:rPr>
          <w:b w:val="0"/>
          <w:sz w:val="20"/>
        </w:rPr>
        <w:t>Registration of products in WHO/GDF supported countries and other delivery-related legal and regulatory matters</w:t>
      </w:r>
    </w:p>
    <w:p w:rsidR="005E2A65" w:rsidRPr="004B7426" w:rsidRDefault="005E2A65" w:rsidP="00485EE4">
      <w:pPr>
        <w:pStyle w:val="Heading1"/>
        <w:keepNext w:val="0"/>
        <w:widowControl w:val="0"/>
        <w:numPr>
          <w:ilvl w:val="0"/>
          <w:numId w:val="3"/>
        </w:numPr>
        <w:spacing w:before="0" w:after="120"/>
        <w:ind w:left="357" w:hanging="357"/>
        <w:rPr>
          <w:b w:val="0"/>
          <w:sz w:val="20"/>
        </w:rPr>
      </w:pPr>
      <w:r w:rsidRPr="004B7426">
        <w:rPr>
          <w:b w:val="0"/>
          <w:sz w:val="20"/>
        </w:rPr>
        <w:t>WHO/GDF Technical Support</w:t>
      </w:r>
    </w:p>
    <w:p w:rsidR="005E2A65" w:rsidRPr="004B7426" w:rsidRDefault="005E2A65" w:rsidP="00485EE4">
      <w:pPr>
        <w:pStyle w:val="Heading1"/>
        <w:keepNext w:val="0"/>
        <w:widowControl w:val="0"/>
        <w:numPr>
          <w:ilvl w:val="0"/>
          <w:numId w:val="3"/>
        </w:numPr>
        <w:spacing w:before="0" w:after="120"/>
        <w:ind w:left="357" w:hanging="357"/>
        <w:rPr>
          <w:b w:val="0"/>
          <w:sz w:val="20"/>
        </w:rPr>
      </w:pPr>
      <w:bookmarkStart w:id="3" w:name="_Ref283823747"/>
      <w:r w:rsidRPr="004B7426">
        <w:rPr>
          <w:b w:val="0"/>
          <w:sz w:val="20"/>
        </w:rPr>
        <w:t>Financial Provisions</w:t>
      </w:r>
      <w:bookmarkEnd w:id="3"/>
      <w:r w:rsidRPr="004B7426">
        <w:rPr>
          <w:b w:val="0"/>
          <w:sz w:val="20"/>
        </w:rPr>
        <w:t xml:space="preserve"> (handling fee, late delivery</w:t>
      </w:r>
      <w:r w:rsidR="004B7426" w:rsidRPr="004B7426">
        <w:rPr>
          <w:b w:val="0"/>
          <w:sz w:val="20"/>
        </w:rPr>
        <w:t xml:space="preserve"> / liquidated damages</w:t>
      </w:r>
      <w:r w:rsidRPr="004B7426">
        <w:rPr>
          <w:b w:val="0"/>
          <w:sz w:val="20"/>
        </w:rPr>
        <w:t>, bank account, master invoices, financial reports, audit)</w:t>
      </w:r>
    </w:p>
    <w:p w:rsidR="005E2A65" w:rsidRPr="004B7426" w:rsidRDefault="005E2A65" w:rsidP="00485EE4">
      <w:pPr>
        <w:pStyle w:val="ListParagraph"/>
        <w:widowControl w:val="0"/>
        <w:numPr>
          <w:ilvl w:val="0"/>
          <w:numId w:val="3"/>
        </w:numPr>
        <w:spacing w:after="120"/>
        <w:ind w:left="357" w:hanging="357"/>
        <w:contextualSpacing w:val="0"/>
        <w:rPr>
          <w:sz w:val="20"/>
        </w:rPr>
      </w:pPr>
      <w:r w:rsidRPr="004B7426">
        <w:rPr>
          <w:sz w:val="20"/>
        </w:rPr>
        <w:t xml:space="preserve">Direct Procurement </w:t>
      </w:r>
      <w:r w:rsidR="004B7426">
        <w:rPr>
          <w:sz w:val="20"/>
        </w:rPr>
        <w:t>business cooperation</w:t>
      </w:r>
    </w:p>
    <w:p w:rsidR="005E2A65" w:rsidRPr="004B7426" w:rsidRDefault="005E2A65" w:rsidP="00485EE4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sz w:val="20"/>
        </w:rPr>
      </w:pPr>
      <w:r w:rsidRPr="004B7426">
        <w:rPr>
          <w:sz w:val="20"/>
        </w:rPr>
        <w:t>Boilerplate clauses (amendments, indemnification, insurance, assignment / sub-contracting, confidentiality, access to information, termination, force majeure, privileges and immunities, dispute settlement, language, conflict of interest, notices</w:t>
      </w:r>
      <w:r w:rsidR="004B7426">
        <w:rPr>
          <w:sz w:val="20"/>
        </w:rPr>
        <w:t>)</w:t>
      </w:r>
    </w:p>
    <w:p w:rsidR="005E2A65" w:rsidRPr="004B7426" w:rsidRDefault="005E2A65" w:rsidP="00485EE4">
      <w:pPr>
        <w:pStyle w:val="ListParagraph"/>
        <w:numPr>
          <w:ilvl w:val="0"/>
          <w:numId w:val="3"/>
        </w:numPr>
        <w:tabs>
          <w:tab w:val="left" w:pos="1915"/>
        </w:tabs>
        <w:spacing w:after="120"/>
        <w:ind w:left="360"/>
        <w:contextualSpacing w:val="0"/>
        <w:rPr>
          <w:sz w:val="20"/>
        </w:rPr>
      </w:pPr>
      <w:r w:rsidRPr="004B7426">
        <w:rPr>
          <w:sz w:val="20"/>
        </w:rPr>
        <w:t>Public relations</w:t>
      </w:r>
    </w:p>
    <w:p w:rsidR="005E2A65" w:rsidRPr="004B7426" w:rsidRDefault="005E2A65" w:rsidP="00485EE4">
      <w:pPr>
        <w:pStyle w:val="ListParagraph"/>
        <w:numPr>
          <w:ilvl w:val="0"/>
          <w:numId w:val="3"/>
        </w:numPr>
        <w:tabs>
          <w:tab w:val="left" w:pos="1915"/>
        </w:tabs>
        <w:spacing w:after="120"/>
        <w:ind w:left="360"/>
        <w:contextualSpacing w:val="0"/>
        <w:rPr>
          <w:sz w:val="20"/>
        </w:rPr>
      </w:pPr>
      <w:r w:rsidRPr="004B7426">
        <w:rPr>
          <w:sz w:val="20"/>
        </w:rPr>
        <w:t>Signatures</w:t>
      </w:r>
    </w:p>
    <w:p w:rsidR="005E2A65" w:rsidRPr="004B7426" w:rsidRDefault="005E2A65" w:rsidP="00485EE4">
      <w:pPr>
        <w:pStyle w:val="ListParagraph"/>
        <w:numPr>
          <w:ilvl w:val="0"/>
          <w:numId w:val="3"/>
        </w:numPr>
        <w:tabs>
          <w:tab w:val="left" w:pos="1915"/>
        </w:tabs>
        <w:spacing w:after="120"/>
        <w:ind w:left="360"/>
        <w:contextualSpacing w:val="0"/>
        <w:rPr>
          <w:sz w:val="20"/>
        </w:rPr>
      </w:pPr>
      <w:r w:rsidRPr="004B7426">
        <w:rPr>
          <w:sz w:val="20"/>
        </w:rPr>
        <w:t>Annexes</w:t>
      </w:r>
    </w:p>
    <w:sectPr w:rsidR="005E2A65" w:rsidRPr="004B7426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02EF4"/>
    <w:multiLevelType w:val="multilevel"/>
    <w:tmpl w:val="8AB81EA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0B328C7"/>
    <w:multiLevelType w:val="hybridMultilevel"/>
    <w:tmpl w:val="43E4CF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93809"/>
    <w:multiLevelType w:val="hybridMultilevel"/>
    <w:tmpl w:val="916AF8FA"/>
    <w:lvl w:ilvl="0" w:tplc="0809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65"/>
    <w:rsid w:val="001504D6"/>
    <w:rsid w:val="00485EE4"/>
    <w:rsid w:val="004B7426"/>
    <w:rsid w:val="005609B1"/>
    <w:rsid w:val="005E2A65"/>
    <w:rsid w:val="007929F5"/>
    <w:rsid w:val="00CB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CDA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LOEBER, John Henry Frank</dc:creator>
  <cp:lastModifiedBy>LOEBER, John Henry Frank</cp:lastModifiedBy>
  <cp:revision>3</cp:revision>
  <cp:lastPrinted>2012-08-13T13:16:00Z</cp:lastPrinted>
  <dcterms:created xsi:type="dcterms:W3CDTF">2012-08-13T12:08:00Z</dcterms:created>
  <dcterms:modified xsi:type="dcterms:W3CDTF">2012-08-13T13:16:00Z</dcterms:modified>
</cp:coreProperties>
</file>