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6A9" w:rsidRDefault="003256A9" w:rsidP="00BF5841">
      <w:pPr>
        <w:jc w:val="center"/>
        <w:rPr>
          <w:b/>
          <w:bCs/>
          <w:i/>
          <w:iCs/>
          <w:sz w:val="36"/>
          <w:szCs w:val="36"/>
        </w:rPr>
      </w:pPr>
      <w:r>
        <w:rPr>
          <w:b/>
          <w:bCs/>
          <w:i/>
          <w:iCs/>
          <w:noProof/>
          <w:sz w:val="36"/>
          <w:szCs w:val="36"/>
          <w:lang w:val="en-US" w:eastAsia="zh-CN"/>
        </w:rPr>
        <w:drawing>
          <wp:anchor distT="0" distB="0" distL="114300" distR="114300" simplePos="0" relativeHeight="251658240" behindDoc="0" locked="0" layoutInCell="1" allowOverlap="1" wp14:anchorId="32FC411F" wp14:editId="125B136A">
            <wp:simplePos x="0" y="0"/>
            <wp:positionH relativeFrom="column">
              <wp:posOffset>1671708</wp:posOffset>
            </wp:positionH>
            <wp:positionV relativeFrom="paragraph">
              <wp:posOffset>-556375</wp:posOffset>
            </wp:positionV>
            <wp:extent cx="1926708" cy="1031358"/>
            <wp:effectExtent l="0" t="0" r="0" b="0"/>
            <wp:wrapNone/>
            <wp:docPr id="4" name="Picture 3" descr="stoptb_GDF_logo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optb_GDF_logo_large"/>
                    <pic:cNvPicPr>
                      <a:picLocks noChangeAspect="1" noChangeArrowheads="1"/>
                    </pic:cNvPicPr>
                  </pic:nvPicPr>
                  <pic:blipFill>
                    <a:blip r:embed="rId9" cstate="print"/>
                    <a:srcRect/>
                    <a:stretch>
                      <a:fillRect/>
                    </a:stretch>
                  </pic:blipFill>
                  <pic:spPr bwMode="auto">
                    <a:xfrm>
                      <a:off x="0" y="0"/>
                      <a:ext cx="1926708" cy="1031358"/>
                    </a:xfrm>
                    <a:prstGeom prst="rect">
                      <a:avLst/>
                    </a:prstGeom>
                    <a:noFill/>
                    <a:ln w="9525">
                      <a:noFill/>
                      <a:miter lim="800000"/>
                      <a:headEnd/>
                      <a:tailEnd/>
                    </a:ln>
                  </pic:spPr>
                </pic:pic>
              </a:graphicData>
            </a:graphic>
          </wp:anchor>
        </w:drawing>
      </w:r>
      <w:r w:rsidR="00A13068">
        <w:rPr>
          <w:b/>
          <w:bCs/>
          <w:i/>
          <w:iCs/>
          <w:sz w:val="36"/>
          <w:szCs w:val="36"/>
        </w:rPr>
        <w:t xml:space="preserve">6 </w:t>
      </w:r>
    </w:p>
    <w:p w:rsidR="003256A9" w:rsidRDefault="003256A9" w:rsidP="00BF5841">
      <w:pPr>
        <w:jc w:val="center"/>
        <w:rPr>
          <w:b/>
          <w:bCs/>
          <w:i/>
          <w:iCs/>
          <w:sz w:val="36"/>
          <w:szCs w:val="36"/>
        </w:rPr>
      </w:pPr>
    </w:p>
    <w:p w:rsidR="003D307D" w:rsidRDefault="003D307D" w:rsidP="00BF5841">
      <w:pPr>
        <w:jc w:val="center"/>
        <w:rPr>
          <w:b/>
          <w:bCs/>
          <w:i/>
          <w:iCs/>
          <w:sz w:val="36"/>
          <w:szCs w:val="36"/>
        </w:rPr>
      </w:pPr>
      <w:r w:rsidRPr="001C3FE7">
        <w:rPr>
          <w:b/>
          <w:bCs/>
          <w:i/>
          <w:iCs/>
          <w:sz w:val="36"/>
          <w:szCs w:val="36"/>
        </w:rPr>
        <w:t xml:space="preserve">Invitation for </w:t>
      </w:r>
      <w:r>
        <w:rPr>
          <w:b/>
          <w:bCs/>
          <w:i/>
          <w:iCs/>
          <w:sz w:val="36"/>
          <w:szCs w:val="36"/>
        </w:rPr>
        <w:t xml:space="preserve">Submission of </w:t>
      </w:r>
      <w:r w:rsidRPr="001C3FE7">
        <w:rPr>
          <w:b/>
          <w:bCs/>
          <w:i/>
          <w:iCs/>
          <w:sz w:val="36"/>
          <w:szCs w:val="36"/>
        </w:rPr>
        <w:t>Expressions of Interest</w:t>
      </w:r>
    </w:p>
    <w:p w:rsidR="003D307D" w:rsidRDefault="001924F9" w:rsidP="006B3AD5">
      <w:pPr>
        <w:jc w:val="center"/>
        <w:rPr>
          <w:b/>
          <w:bCs/>
          <w:i/>
          <w:iCs/>
          <w:sz w:val="28"/>
          <w:szCs w:val="28"/>
        </w:rPr>
      </w:pPr>
      <w:r>
        <w:rPr>
          <w:b/>
          <w:bCs/>
          <w:i/>
          <w:iCs/>
          <w:sz w:val="28"/>
          <w:szCs w:val="28"/>
        </w:rPr>
        <w:t>For the supply of</w:t>
      </w:r>
      <w:r w:rsidR="00511CF7">
        <w:rPr>
          <w:b/>
          <w:bCs/>
          <w:i/>
          <w:iCs/>
          <w:sz w:val="28"/>
          <w:szCs w:val="28"/>
        </w:rPr>
        <w:t xml:space="preserve"> laboratory </w:t>
      </w:r>
      <w:r w:rsidR="0009281B">
        <w:rPr>
          <w:b/>
          <w:bCs/>
          <w:i/>
          <w:iCs/>
          <w:sz w:val="28"/>
          <w:szCs w:val="28"/>
        </w:rPr>
        <w:t>instrument</w:t>
      </w:r>
      <w:r w:rsidR="00A774C3">
        <w:rPr>
          <w:b/>
          <w:bCs/>
          <w:i/>
          <w:iCs/>
          <w:sz w:val="28"/>
          <w:szCs w:val="28"/>
        </w:rPr>
        <w:t>, tools</w:t>
      </w:r>
      <w:r>
        <w:rPr>
          <w:b/>
          <w:bCs/>
          <w:i/>
          <w:iCs/>
          <w:sz w:val="28"/>
          <w:szCs w:val="28"/>
        </w:rPr>
        <w:t>, chemicals</w:t>
      </w:r>
      <w:r w:rsidR="006B3AD5">
        <w:rPr>
          <w:b/>
          <w:bCs/>
          <w:i/>
          <w:iCs/>
          <w:sz w:val="28"/>
          <w:szCs w:val="28"/>
        </w:rPr>
        <w:t xml:space="preserve"> and consumables</w:t>
      </w:r>
      <w:r w:rsidR="00A774C3">
        <w:rPr>
          <w:b/>
          <w:bCs/>
          <w:i/>
          <w:iCs/>
          <w:sz w:val="28"/>
          <w:szCs w:val="28"/>
        </w:rPr>
        <w:t xml:space="preserve"> </w:t>
      </w:r>
      <w:r w:rsidR="00BF5841">
        <w:rPr>
          <w:b/>
          <w:bCs/>
          <w:i/>
          <w:iCs/>
          <w:sz w:val="28"/>
          <w:szCs w:val="28"/>
        </w:rPr>
        <w:t xml:space="preserve">for diagnosis of TB </w:t>
      </w:r>
      <w:r>
        <w:rPr>
          <w:b/>
          <w:bCs/>
          <w:i/>
          <w:iCs/>
          <w:sz w:val="28"/>
          <w:szCs w:val="28"/>
        </w:rPr>
        <w:t>and Multi Drug Resistant TB</w:t>
      </w:r>
    </w:p>
    <w:p w:rsidR="00CA570C" w:rsidRPr="00DE076D" w:rsidRDefault="00CA570C" w:rsidP="00BF5841">
      <w:pPr>
        <w:jc w:val="center"/>
        <w:rPr>
          <w:b/>
          <w:bCs/>
          <w:sz w:val="28"/>
          <w:szCs w:val="28"/>
        </w:rPr>
      </w:pPr>
    </w:p>
    <w:p w:rsidR="003D307D" w:rsidRPr="00F17A0C" w:rsidRDefault="003D307D" w:rsidP="001052CA">
      <w:pPr>
        <w:jc w:val="both"/>
        <w:rPr>
          <w:sz w:val="22"/>
          <w:szCs w:val="22"/>
        </w:rPr>
      </w:pPr>
      <w:r w:rsidRPr="003D307D">
        <w:rPr>
          <w:sz w:val="22"/>
          <w:szCs w:val="22"/>
        </w:rPr>
        <w:t xml:space="preserve">The Global Drug Facility (GDF), the procurement arm of the Stop TB Partnership, housed at the World Health Organization (WHO) in Geneva, Switzerland, intends to issue, via its appointed procurement agent, the Deutsche </w:t>
      </w:r>
      <w:proofErr w:type="spellStart"/>
      <w:r w:rsidRPr="003D307D">
        <w:rPr>
          <w:sz w:val="22"/>
          <w:szCs w:val="22"/>
        </w:rPr>
        <w:t>Gesellschaft</w:t>
      </w:r>
      <w:proofErr w:type="spellEnd"/>
      <w:r w:rsidRPr="003D307D">
        <w:rPr>
          <w:sz w:val="22"/>
          <w:szCs w:val="22"/>
        </w:rPr>
        <w:t xml:space="preserve"> </w:t>
      </w:r>
      <w:proofErr w:type="spellStart"/>
      <w:r w:rsidRPr="003D307D">
        <w:rPr>
          <w:sz w:val="22"/>
          <w:szCs w:val="22"/>
        </w:rPr>
        <w:t>für</w:t>
      </w:r>
      <w:proofErr w:type="spellEnd"/>
      <w:r w:rsidRPr="003D307D">
        <w:rPr>
          <w:sz w:val="22"/>
          <w:szCs w:val="22"/>
        </w:rPr>
        <w:t xml:space="preserve"> </w:t>
      </w:r>
      <w:proofErr w:type="spellStart"/>
      <w:r w:rsidRPr="003D307D">
        <w:rPr>
          <w:sz w:val="22"/>
          <w:szCs w:val="22"/>
        </w:rPr>
        <w:t>Internationale</w:t>
      </w:r>
      <w:proofErr w:type="spellEnd"/>
      <w:r w:rsidRPr="003D307D">
        <w:rPr>
          <w:sz w:val="22"/>
          <w:szCs w:val="22"/>
        </w:rPr>
        <w:t xml:space="preserve"> </w:t>
      </w:r>
      <w:proofErr w:type="spellStart"/>
      <w:r w:rsidRPr="003D307D">
        <w:rPr>
          <w:sz w:val="22"/>
          <w:szCs w:val="22"/>
        </w:rPr>
        <w:t>Zusammenarbeit</w:t>
      </w:r>
      <w:proofErr w:type="spellEnd"/>
      <w:r w:rsidRPr="003D307D">
        <w:rPr>
          <w:sz w:val="22"/>
          <w:szCs w:val="22"/>
        </w:rPr>
        <w:t xml:space="preserve"> (GIZ) GmbH, a restricted </w:t>
      </w:r>
      <w:r w:rsidR="0019331C" w:rsidRPr="00F17A0C">
        <w:rPr>
          <w:sz w:val="22"/>
          <w:szCs w:val="22"/>
        </w:rPr>
        <w:t xml:space="preserve">Invitation to </w:t>
      </w:r>
      <w:r w:rsidR="00293520" w:rsidRPr="00F17A0C">
        <w:rPr>
          <w:sz w:val="22"/>
          <w:szCs w:val="22"/>
        </w:rPr>
        <w:t xml:space="preserve">Bid </w:t>
      </w:r>
      <w:r w:rsidR="00453294">
        <w:rPr>
          <w:sz w:val="22"/>
          <w:szCs w:val="22"/>
        </w:rPr>
        <w:t xml:space="preserve">(ITB) </w:t>
      </w:r>
      <w:r w:rsidR="00293520" w:rsidRPr="00F17A0C">
        <w:rPr>
          <w:sz w:val="22"/>
          <w:szCs w:val="22"/>
        </w:rPr>
        <w:t>for</w:t>
      </w:r>
      <w:r w:rsidRPr="00F17A0C">
        <w:rPr>
          <w:sz w:val="22"/>
          <w:szCs w:val="22"/>
        </w:rPr>
        <w:t xml:space="preserve"> </w:t>
      </w:r>
      <w:r w:rsidR="00511CF7">
        <w:rPr>
          <w:sz w:val="22"/>
          <w:szCs w:val="22"/>
        </w:rPr>
        <w:t xml:space="preserve">the supply of laboratory </w:t>
      </w:r>
      <w:r w:rsidR="001052CA">
        <w:rPr>
          <w:sz w:val="22"/>
          <w:szCs w:val="22"/>
        </w:rPr>
        <w:t>instruments</w:t>
      </w:r>
      <w:r w:rsidR="00511CF7" w:rsidRPr="00511CF7">
        <w:rPr>
          <w:sz w:val="22"/>
          <w:szCs w:val="22"/>
        </w:rPr>
        <w:t xml:space="preserve">, </w:t>
      </w:r>
      <w:r w:rsidR="00453294" w:rsidRPr="00511CF7">
        <w:rPr>
          <w:sz w:val="22"/>
          <w:szCs w:val="22"/>
        </w:rPr>
        <w:t xml:space="preserve">tools, chemicals, reagents and consumables for laboratories </w:t>
      </w:r>
      <w:r w:rsidRPr="00F17A0C">
        <w:rPr>
          <w:sz w:val="22"/>
          <w:szCs w:val="22"/>
        </w:rPr>
        <w:t xml:space="preserve">in countries serviced by GDF. It is planned to issue the </w:t>
      </w:r>
      <w:r w:rsidR="0019331C" w:rsidRPr="00F17A0C">
        <w:rPr>
          <w:sz w:val="22"/>
          <w:szCs w:val="22"/>
        </w:rPr>
        <w:t>ITB</w:t>
      </w:r>
      <w:r w:rsidR="00BF5841" w:rsidRPr="00F17A0C">
        <w:rPr>
          <w:sz w:val="22"/>
          <w:szCs w:val="22"/>
        </w:rPr>
        <w:t xml:space="preserve"> in </w:t>
      </w:r>
      <w:r w:rsidR="00433CB1" w:rsidRPr="00F17A0C">
        <w:rPr>
          <w:sz w:val="22"/>
          <w:szCs w:val="22"/>
        </w:rPr>
        <w:t>Q</w:t>
      </w:r>
      <w:r w:rsidR="00511CF7">
        <w:rPr>
          <w:sz w:val="22"/>
          <w:szCs w:val="22"/>
        </w:rPr>
        <w:t>2/Q3</w:t>
      </w:r>
      <w:r w:rsidRPr="00F17A0C">
        <w:rPr>
          <w:sz w:val="22"/>
          <w:szCs w:val="22"/>
        </w:rPr>
        <w:t xml:space="preserve"> 201</w:t>
      </w:r>
      <w:r w:rsidR="00511CF7">
        <w:rPr>
          <w:sz w:val="22"/>
          <w:szCs w:val="22"/>
        </w:rPr>
        <w:t>3</w:t>
      </w:r>
      <w:r w:rsidRPr="00F17A0C">
        <w:rPr>
          <w:sz w:val="22"/>
          <w:szCs w:val="22"/>
        </w:rPr>
        <w:t>.</w:t>
      </w:r>
    </w:p>
    <w:p w:rsidR="003D307D" w:rsidRPr="003D307D" w:rsidRDefault="003D307D" w:rsidP="003D307D">
      <w:pPr>
        <w:jc w:val="both"/>
        <w:rPr>
          <w:sz w:val="22"/>
          <w:szCs w:val="22"/>
        </w:rPr>
      </w:pPr>
    </w:p>
    <w:p w:rsidR="003D307D" w:rsidRPr="003D307D" w:rsidRDefault="003D307D" w:rsidP="00F06377">
      <w:pPr>
        <w:jc w:val="both"/>
        <w:rPr>
          <w:sz w:val="22"/>
          <w:szCs w:val="22"/>
        </w:rPr>
      </w:pPr>
      <w:r w:rsidRPr="003D307D">
        <w:rPr>
          <w:sz w:val="22"/>
          <w:szCs w:val="22"/>
        </w:rPr>
        <w:t xml:space="preserve">GDF's mission is to ensure timely access to quality assured, affordable </w:t>
      </w:r>
      <w:r w:rsidR="00F06377">
        <w:rPr>
          <w:sz w:val="22"/>
          <w:szCs w:val="22"/>
        </w:rPr>
        <w:t>anti-tuberculosis (TB) medicines</w:t>
      </w:r>
      <w:r w:rsidRPr="003D307D">
        <w:rPr>
          <w:sz w:val="22"/>
          <w:szCs w:val="22"/>
        </w:rPr>
        <w:t xml:space="preserve"> and diagnostics.</w:t>
      </w:r>
    </w:p>
    <w:p w:rsidR="003D307D" w:rsidRPr="003D307D" w:rsidRDefault="003D307D" w:rsidP="003D307D">
      <w:pPr>
        <w:jc w:val="both"/>
        <w:rPr>
          <w:sz w:val="22"/>
          <w:szCs w:val="22"/>
        </w:rPr>
      </w:pPr>
    </w:p>
    <w:p w:rsidR="003D307D" w:rsidRPr="003D307D" w:rsidRDefault="003D307D" w:rsidP="00DD46EC">
      <w:pPr>
        <w:jc w:val="both"/>
        <w:rPr>
          <w:sz w:val="22"/>
          <w:szCs w:val="22"/>
        </w:rPr>
      </w:pPr>
      <w:r w:rsidRPr="003D307D">
        <w:rPr>
          <w:sz w:val="22"/>
          <w:szCs w:val="22"/>
        </w:rPr>
        <w:t>GDF supports implementation of the Stop TB Strategy in accordance with the Global Plan to Stop TB (2006 - 2015), supplemented by the Global MDR / XDR-TB Response Plan</w:t>
      </w:r>
      <w:r w:rsidR="00DD46EC">
        <w:rPr>
          <w:sz w:val="22"/>
          <w:szCs w:val="22"/>
        </w:rPr>
        <w:t xml:space="preserve"> (2007 - 2008, as updated 2010)</w:t>
      </w:r>
      <w:r w:rsidRPr="003D307D">
        <w:rPr>
          <w:sz w:val="22"/>
          <w:szCs w:val="22"/>
        </w:rPr>
        <w:t xml:space="preserve">. GDF facilitates global DOTS expansion or maintenance in support of the Stop TB Strategy. For a general background on GDF's services and operations, please refer to </w:t>
      </w:r>
      <w:hyperlink r:id="rId10" w:history="1">
        <w:r w:rsidRPr="003D307D">
          <w:rPr>
            <w:rStyle w:val="Hyperlink"/>
            <w:sz w:val="22"/>
            <w:szCs w:val="22"/>
          </w:rPr>
          <w:t>http://www.stoptb.org/gdf/</w:t>
        </w:r>
      </w:hyperlink>
      <w:r w:rsidRPr="003D307D">
        <w:rPr>
          <w:sz w:val="22"/>
          <w:szCs w:val="22"/>
        </w:rPr>
        <w:t>.</w:t>
      </w:r>
    </w:p>
    <w:p w:rsidR="003D307D" w:rsidRPr="003D307D" w:rsidRDefault="003D307D" w:rsidP="003D307D">
      <w:pPr>
        <w:jc w:val="both"/>
        <w:rPr>
          <w:color w:val="000000"/>
          <w:sz w:val="22"/>
          <w:szCs w:val="22"/>
        </w:rPr>
      </w:pPr>
    </w:p>
    <w:p w:rsidR="00511CF7" w:rsidRPr="00511CF7" w:rsidRDefault="00511CF7" w:rsidP="00511CF7">
      <w:pPr>
        <w:jc w:val="both"/>
        <w:rPr>
          <w:color w:val="000000"/>
          <w:sz w:val="22"/>
          <w:szCs w:val="22"/>
        </w:rPr>
      </w:pPr>
      <w:r w:rsidRPr="00511CF7">
        <w:rPr>
          <w:color w:val="000000"/>
          <w:sz w:val="22"/>
          <w:szCs w:val="22"/>
        </w:rPr>
        <w:t>Lack of diagnostic capacity is a critical barrier to the scale-up of diagnosis, treatment and care needed for an effective response to the dramatic increase in MDR-TB which has been further complicated by the convergence of the TB and HIV epidemics.</w:t>
      </w:r>
    </w:p>
    <w:p w:rsidR="00511CF7" w:rsidRPr="00511CF7" w:rsidRDefault="00511CF7" w:rsidP="00511CF7">
      <w:pPr>
        <w:jc w:val="both"/>
        <w:rPr>
          <w:color w:val="000000"/>
          <w:sz w:val="22"/>
          <w:szCs w:val="22"/>
        </w:rPr>
      </w:pPr>
    </w:p>
    <w:p w:rsidR="00511CF7" w:rsidRPr="00511CF7" w:rsidRDefault="00511CF7" w:rsidP="00511CF7">
      <w:pPr>
        <w:jc w:val="both"/>
        <w:rPr>
          <w:color w:val="000000"/>
          <w:sz w:val="22"/>
          <w:szCs w:val="22"/>
        </w:rPr>
      </w:pPr>
      <w:r w:rsidRPr="00511CF7">
        <w:rPr>
          <w:color w:val="000000"/>
          <w:sz w:val="22"/>
          <w:szCs w:val="22"/>
        </w:rPr>
        <w:t>In addressing this challenge, GDF is engaged in a five year project until 201</w:t>
      </w:r>
      <w:r>
        <w:rPr>
          <w:color w:val="000000"/>
          <w:sz w:val="22"/>
          <w:szCs w:val="22"/>
        </w:rPr>
        <w:t>4</w:t>
      </w:r>
      <w:r w:rsidRPr="00511CF7">
        <w:rPr>
          <w:color w:val="000000"/>
          <w:sz w:val="22"/>
          <w:szCs w:val="22"/>
        </w:rPr>
        <w:t xml:space="preserve"> (“EXPAND-TB Project”) to procure and implement new TB diagnostic tools in 27 countries. Further Project partners include the WHO Global Laboratory Initiative (GLI), FIND (Foundation for Innovative New Diagnostics) and UNITAID as the Project's funding agency.</w:t>
      </w:r>
    </w:p>
    <w:p w:rsidR="00511CF7" w:rsidRPr="00511CF7" w:rsidRDefault="00511CF7" w:rsidP="00511CF7">
      <w:pPr>
        <w:jc w:val="both"/>
        <w:rPr>
          <w:color w:val="000000"/>
          <w:sz w:val="22"/>
          <w:szCs w:val="22"/>
        </w:rPr>
      </w:pPr>
    </w:p>
    <w:p w:rsidR="0019331C" w:rsidRDefault="00511CF7" w:rsidP="00511CF7">
      <w:pPr>
        <w:jc w:val="both"/>
        <w:rPr>
          <w:color w:val="000000"/>
          <w:sz w:val="22"/>
          <w:szCs w:val="22"/>
        </w:rPr>
      </w:pPr>
      <w:r w:rsidRPr="00511CF7">
        <w:rPr>
          <w:color w:val="000000"/>
          <w:sz w:val="22"/>
          <w:szCs w:val="22"/>
        </w:rPr>
        <w:t xml:space="preserve">GDF has been entrusted under the EXPAND TB Project with establishing a pooled procurement mechanism for advanced diagnostic </w:t>
      </w:r>
      <w:r w:rsidR="0009281B">
        <w:rPr>
          <w:color w:val="000000"/>
          <w:sz w:val="22"/>
          <w:szCs w:val="22"/>
        </w:rPr>
        <w:t>instrument</w:t>
      </w:r>
      <w:r w:rsidR="001052CA">
        <w:rPr>
          <w:color w:val="000000"/>
          <w:sz w:val="22"/>
          <w:szCs w:val="22"/>
        </w:rPr>
        <w:t>s</w:t>
      </w:r>
      <w:r w:rsidRPr="00511CF7">
        <w:rPr>
          <w:color w:val="000000"/>
          <w:sz w:val="22"/>
          <w:szCs w:val="22"/>
        </w:rPr>
        <w:t xml:space="preserve"> and supplies in collaboration with FIND. GDF together with FIND works with GIZ as Procurement Agent and selected suppliers in instituting this mechanism.</w:t>
      </w:r>
    </w:p>
    <w:p w:rsidR="00511CF7" w:rsidRDefault="00511CF7" w:rsidP="00511CF7">
      <w:pPr>
        <w:jc w:val="both"/>
        <w:rPr>
          <w:color w:val="000000"/>
          <w:sz w:val="22"/>
          <w:szCs w:val="22"/>
        </w:rPr>
      </w:pPr>
    </w:p>
    <w:p w:rsidR="00453294" w:rsidRDefault="00453294" w:rsidP="0009281B">
      <w:pPr>
        <w:jc w:val="both"/>
        <w:rPr>
          <w:color w:val="000000"/>
          <w:sz w:val="22"/>
          <w:szCs w:val="22"/>
        </w:rPr>
      </w:pPr>
      <w:r>
        <w:rPr>
          <w:color w:val="000000"/>
          <w:sz w:val="22"/>
          <w:szCs w:val="22"/>
        </w:rPr>
        <w:t xml:space="preserve">Procurement by EXPAND-TB recipient countries with </w:t>
      </w:r>
      <w:r w:rsidR="0009281B">
        <w:rPr>
          <w:color w:val="000000"/>
          <w:sz w:val="22"/>
          <w:szCs w:val="22"/>
        </w:rPr>
        <w:t xml:space="preserve">their </w:t>
      </w:r>
      <w:r>
        <w:rPr>
          <w:color w:val="000000"/>
          <w:sz w:val="22"/>
          <w:szCs w:val="22"/>
        </w:rPr>
        <w:t>own funds or using other funding sources is expected to continue in 2015 and beyond, sustaining gains of the EXPAND-TB Project.</w:t>
      </w:r>
      <w:r w:rsidR="00D75A96">
        <w:rPr>
          <w:color w:val="000000"/>
          <w:sz w:val="22"/>
          <w:szCs w:val="22"/>
        </w:rPr>
        <w:t xml:space="preserve"> Other countries may wish to similarly procure the laboratory items provided under the EXPAND-TB Project. GDF is planning to offer procurement services for these laboratory items for all countries from 2014.</w:t>
      </w:r>
    </w:p>
    <w:p w:rsidR="00453294" w:rsidRDefault="00453294" w:rsidP="00511CF7">
      <w:pPr>
        <w:jc w:val="both"/>
        <w:rPr>
          <w:color w:val="000000"/>
          <w:sz w:val="22"/>
          <w:szCs w:val="22"/>
        </w:rPr>
      </w:pPr>
    </w:p>
    <w:p w:rsidR="00CA570C" w:rsidRDefault="00A315C4" w:rsidP="006B38E2">
      <w:pPr>
        <w:jc w:val="both"/>
        <w:rPr>
          <w:sz w:val="22"/>
          <w:szCs w:val="22"/>
        </w:rPr>
      </w:pPr>
      <w:r>
        <w:rPr>
          <w:sz w:val="22"/>
          <w:szCs w:val="22"/>
        </w:rPr>
        <w:t>GDF</w:t>
      </w:r>
      <w:r w:rsidRPr="00511CF7">
        <w:rPr>
          <w:sz w:val="22"/>
          <w:szCs w:val="22"/>
        </w:rPr>
        <w:t xml:space="preserve"> </w:t>
      </w:r>
      <w:r w:rsidR="00511CF7" w:rsidRPr="00511CF7">
        <w:rPr>
          <w:sz w:val="22"/>
          <w:szCs w:val="22"/>
        </w:rPr>
        <w:t xml:space="preserve">is now issuing </w:t>
      </w:r>
      <w:r w:rsidR="00453294">
        <w:rPr>
          <w:sz w:val="22"/>
          <w:szCs w:val="22"/>
        </w:rPr>
        <w:t xml:space="preserve">this Invitation for Submission </w:t>
      </w:r>
      <w:r w:rsidR="00511CF7" w:rsidRPr="00511CF7">
        <w:rPr>
          <w:sz w:val="22"/>
          <w:szCs w:val="22"/>
        </w:rPr>
        <w:t xml:space="preserve">of Expressions of Interest </w:t>
      </w:r>
      <w:r w:rsidR="00453294">
        <w:rPr>
          <w:sz w:val="22"/>
          <w:szCs w:val="22"/>
        </w:rPr>
        <w:t xml:space="preserve">(EOI) </w:t>
      </w:r>
      <w:r w:rsidR="00511CF7" w:rsidRPr="00511CF7">
        <w:rPr>
          <w:sz w:val="22"/>
          <w:szCs w:val="22"/>
        </w:rPr>
        <w:t xml:space="preserve">for the supply and, where necessary the installation, of laboratory </w:t>
      </w:r>
      <w:r w:rsidR="0009281B">
        <w:rPr>
          <w:sz w:val="22"/>
          <w:szCs w:val="22"/>
        </w:rPr>
        <w:t>instrument</w:t>
      </w:r>
      <w:r w:rsidR="001052CA">
        <w:rPr>
          <w:sz w:val="22"/>
          <w:szCs w:val="22"/>
        </w:rPr>
        <w:t>s</w:t>
      </w:r>
      <w:r w:rsidR="00511CF7" w:rsidRPr="00511CF7">
        <w:rPr>
          <w:sz w:val="22"/>
          <w:szCs w:val="22"/>
        </w:rPr>
        <w:t xml:space="preserve">, tools, chemicals, reagents and consumables for laboratories in countries </w:t>
      </w:r>
      <w:r w:rsidR="00D75A96">
        <w:rPr>
          <w:sz w:val="22"/>
          <w:szCs w:val="22"/>
        </w:rPr>
        <w:t xml:space="preserve">to be </w:t>
      </w:r>
      <w:r w:rsidR="00511CF7" w:rsidRPr="00511CF7">
        <w:rPr>
          <w:sz w:val="22"/>
          <w:szCs w:val="22"/>
        </w:rPr>
        <w:t>serviced by GDF.</w:t>
      </w:r>
      <w:r w:rsidR="00453294">
        <w:rPr>
          <w:sz w:val="22"/>
          <w:szCs w:val="22"/>
        </w:rPr>
        <w:t xml:space="preserve"> </w:t>
      </w:r>
      <w:r w:rsidR="00511CF7" w:rsidRPr="00511CF7">
        <w:rPr>
          <w:sz w:val="22"/>
          <w:szCs w:val="22"/>
        </w:rPr>
        <w:t xml:space="preserve">The purpose of this EOI is to short-list potential providers of laboratory </w:t>
      </w:r>
      <w:r w:rsidR="0009281B">
        <w:rPr>
          <w:sz w:val="22"/>
          <w:szCs w:val="22"/>
        </w:rPr>
        <w:t>instrument</w:t>
      </w:r>
      <w:r w:rsidR="001052CA">
        <w:rPr>
          <w:sz w:val="22"/>
          <w:szCs w:val="22"/>
        </w:rPr>
        <w:t>s</w:t>
      </w:r>
      <w:r w:rsidR="00511CF7" w:rsidRPr="00511CF7">
        <w:rPr>
          <w:sz w:val="22"/>
          <w:szCs w:val="22"/>
        </w:rPr>
        <w:t xml:space="preserve"> for an ITB to be conducted by GIZ, based on a general technical assessment of the provider and its specific delivery capacity for these products.</w:t>
      </w:r>
    </w:p>
    <w:p w:rsidR="00F948F8" w:rsidRDefault="00F948F8" w:rsidP="00511CF7">
      <w:pPr>
        <w:jc w:val="both"/>
        <w:rPr>
          <w:sz w:val="22"/>
          <w:szCs w:val="22"/>
        </w:rPr>
      </w:pPr>
    </w:p>
    <w:p w:rsidR="004F2A43" w:rsidRDefault="004F2A43">
      <w:pPr>
        <w:rPr>
          <w:sz w:val="22"/>
          <w:szCs w:val="22"/>
        </w:rPr>
      </w:pPr>
      <w:r>
        <w:rPr>
          <w:sz w:val="22"/>
          <w:szCs w:val="22"/>
        </w:rPr>
        <w:br w:type="page"/>
      </w:r>
    </w:p>
    <w:p w:rsidR="00F948F8" w:rsidRDefault="00D75A96" w:rsidP="006B38E2">
      <w:pPr>
        <w:jc w:val="both"/>
        <w:rPr>
          <w:sz w:val="22"/>
          <w:szCs w:val="22"/>
        </w:rPr>
      </w:pPr>
      <w:r>
        <w:rPr>
          <w:sz w:val="22"/>
          <w:szCs w:val="22"/>
        </w:rPr>
        <w:lastRenderedPageBreak/>
        <w:t>The ITB shall be divided into s</w:t>
      </w:r>
      <w:r w:rsidR="004F2A43">
        <w:rPr>
          <w:sz w:val="22"/>
          <w:szCs w:val="22"/>
        </w:rPr>
        <w:t>even</w:t>
      </w:r>
      <w:r w:rsidR="00F948F8">
        <w:rPr>
          <w:sz w:val="22"/>
          <w:szCs w:val="22"/>
        </w:rPr>
        <w:t xml:space="preserve"> lots</w:t>
      </w:r>
      <w:r w:rsidR="00A774C3">
        <w:rPr>
          <w:sz w:val="22"/>
          <w:szCs w:val="22"/>
        </w:rPr>
        <w:t>:</w:t>
      </w:r>
    </w:p>
    <w:p w:rsidR="00F948F8" w:rsidRDefault="00F948F8" w:rsidP="00511CF7">
      <w:pPr>
        <w:jc w:val="both"/>
        <w:rPr>
          <w:sz w:val="22"/>
          <w:szCs w:val="22"/>
        </w:rPr>
      </w:pPr>
    </w:p>
    <w:p w:rsidR="00F948F8" w:rsidRPr="00A774C3" w:rsidRDefault="00D75A96" w:rsidP="00157302">
      <w:pPr>
        <w:pStyle w:val="ListParagraph"/>
        <w:jc w:val="both"/>
        <w:rPr>
          <w:sz w:val="22"/>
          <w:szCs w:val="22"/>
        </w:rPr>
      </w:pPr>
      <w:r>
        <w:rPr>
          <w:sz w:val="22"/>
          <w:szCs w:val="22"/>
        </w:rPr>
        <w:t>Lot1</w:t>
      </w:r>
      <w:r>
        <w:rPr>
          <w:sz w:val="22"/>
          <w:szCs w:val="22"/>
        </w:rPr>
        <w:tab/>
      </w:r>
      <w:r w:rsidR="00F948F8" w:rsidRPr="00A774C3">
        <w:rPr>
          <w:sz w:val="22"/>
          <w:szCs w:val="22"/>
        </w:rPr>
        <w:t>Instruments and tools</w:t>
      </w:r>
    </w:p>
    <w:p w:rsidR="00F948F8" w:rsidRDefault="00D75A96" w:rsidP="00157302">
      <w:pPr>
        <w:pStyle w:val="ListParagraph"/>
        <w:jc w:val="both"/>
        <w:rPr>
          <w:sz w:val="22"/>
          <w:szCs w:val="22"/>
        </w:rPr>
      </w:pPr>
      <w:r>
        <w:rPr>
          <w:sz w:val="22"/>
          <w:szCs w:val="22"/>
        </w:rPr>
        <w:t>Lot 2</w:t>
      </w:r>
      <w:r>
        <w:rPr>
          <w:sz w:val="22"/>
          <w:szCs w:val="22"/>
        </w:rPr>
        <w:tab/>
      </w:r>
      <w:r w:rsidR="00F948F8" w:rsidRPr="00A774C3">
        <w:rPr>
          <w:sz w:val="22"/>
          <w:szCs w:val="22"/>
        </w:rPr>
        <w:t>Chemicals and consumables</w:t>
      </w:r>
    </w:p>
    <w:p w:rsidR="00F948F8" w:rsidRPr="00157302" w:rsidRDefault="00D75A96" w:rsidP="00157302">
      <w:pPr>
        <w:ind w:firstLine="720"/>
        <w:jc w:val="both"/>
        <w:rPr>
          <w:sz w:val="22"/>
          <w:szCs w:val="22"/>
        </w:rPr>
      </w:pPr>
      <w:r>
        <w:rPr>
          <w:sz w:val="22"/>
          <w:szCs w:val="22"/>
        </w:rPr>
        <w:t>Lot 3</w:t>
      </w:r>
      <w:r>
        <w:rPr>
          <w:sz w:val="22"/>
          <w:szCs w:val="22"/>
        </w:rPr>
        <w:tab/>
        <w:t>I</w:t>
      </w:r>
      <w:r w:rsidR="00F948F8" w:rsidRPr="00157302">
        <w:rPr>
          <w:sz w:val="22"/>
          <w:szCs w:val="22"/>
        </w:rPr>
        <w:t>nstrument</w:t>
      </w:r>
      <w:r w:rsidR="001052CA">
        <w:rPr>
          <w:sz w:val="22"/>
          <w:szCs w:val="22"/>
        </w:rPr>
        <w:t>s</w:t>
      </w:r>
      <w:r w:rsidR="00F948F8" w:rsidRPr="00157302">
        <w:rPr>
          <w:sz w:val="22"/>
          <w:szCs w:val="22"/>
        </w:rPr>
        <w:t xml:space="preserve"> and tools – India Local Procurement</w:t>
      </w:r>
    </w:p>
    <w:p w:rsidR="00F948F8" w:rsidRPr="00157302" w:rsidRDefault="00D75A96" w:rsidP="00157302">
      <w:pPr>
        <w:pStyle w:val="ListParagraph"/>
        <w:jc w:val="both"/>
        <w:rPr>
          <w:sz w:val="22"/>
          <w:szCs w:val="22"/>
        </w:rPr>
      </w:pPr>
      <w:r>
        <w:rPr>
          <w:sz w:val="22"/>
          <w:szCs w:val="22"/>
        </w:rPr>
        <w:t>Lot 4</w:t>
      </w:r>
      <w:r>
        <w:rPr>
          <w:sz w:val="22"/>
          <w:szCs w:val="22"/>
        </w:rPr>
        <w:tab/>
      </w:r>
      <w:r w:rsidR="00F948F8" w:rsidRPr="00157302">
        <w:rPr>
          <w:sz w:val="22"/>
          <w:szCs w:val="22"/>
        </w:rPr>
        <w:t xml:space="preserve">Chemicals </w:t>
      </w:r>
      <w:r w:rsidRPr="00157302">
        <w:rPr>
          <w:sz w:val="22"/>
          <w:szCs w:val="22"/>
        </w:rPr>
        <w:t xml:space="preserve">and </w:t>
      </w:r>
      <w:r w:rsidR="00F948F8" w:rsidRPr="00157302">
        <w:rPr>
          <w:sz w:val="22"/>
          <w:szCs w:val="22"/>
        </w:rPr>
        <w:t>Consumables – India Local Procurement</w:t>
      </w:r>
    </w:p>
    <w:p w:rsidR="004F2A43" w:rsidRDefault="00D75A96" w:rsidP="00157302">
      <w:pPr>
        <w:pStyle w:val="ListParagraph"/>
        <w:jc w:val="both"/>
        <w:rPr>
          <w:sz w:val="22"/>
          <w:szCs w:val="22"/>
        </w:rPr>
      </w:pPr>
      <w:r>
        <w:rPr>
          <w:sz w:val="22"/>
          <w:szCs w:val="22"/>
        </w:rPr>
        <w:t>Lot 5</w:t>
      </w:r>
      <w:r>
        <w:rPr>
          <w:sz w:val="22"/>
          <w:szCs w:val="22"/>
        </w:rPr>
        <w:tab/>
      </w:r>
      <w:r w:rsidR="004F2A43" w:rsidRPr="00157302">
        <w:rPr>
          <w:sz w:val="22"/>
          <w:szCs w:val="22"/>
        </w:rPr>
        <w:t>Standardization items</w:t>
      </w:r>
      <w:r w:rsidR="004F2A43">
        <w:rPr>
          <w:rStyle w:val="FootnoteReference"/>
          <w:sz w:val="22"/>
          <w:szCs w:val="22"/>
          <w:lang w:val="fr-CH"/>
        </w:rPr>
        <w:footnoteReference w:id="1"/>
      </w:r>
    </w:p>
    <w:p w:rsidR="00F948F8" w:rsidRDefault="00D75A96" w:rsidP="00157302">
      <w:pPr>
        <w:pStyle w:val="ListParagraph"/>
        <w:jc w:val="both"/>
        <w:rPr>
          <w:sz w:val="22"/>
          <w:szCs w:val="22"/>
        </w:rPr>
      </w:pPr>
      <w:r>
        <w:rPr>
          <w:sz w:val="22"/>
          <w:szCs w:val="22"/>
        </w:rPr>
        <w:t>Lot 6</w:t>
      </w:r>
      <w:r>
        <w:rPr>
          <w:sz w:val="22"/>
          <w:szCs w:val="22"/>
        </w:rPr>
        <w:tab/>
      </w:r>
      <w:r w:rsidR="00F948F8" w:rsidRPr="00A774C3">
        <w:rPr>
          <w:sz w:val="22"/>
          <w:szCs w:val="22"/>
        </w:rPr>
        <w:t xml:space="preserve">Autoclave with </w:t>
      </w:r>
      <w:r>
        <w:rPr>
          <w:sz w:val="22"/>
          <w:szCs w:val="22"/>
        </w:rPr>
        <w:t>i</w:t>
      </w:r>
      <w:r w:rsidR="00F948F8" w:rsidRPr="00A774C3">
        <w:rPr>
          <w:sz w:val="22"/>
          <w:szCs w:val="22"/>
        </w:rPr>
        <w:t>nstallation and training</w:t>
      </w:r>
    </w:p>
    <w:p w:rsidR="00F948F8" w:rsidRPr="00A774C3" w:rsidRDefault="00D75A96" w:rsidP="00157302">
      <w:pPr>
        <w:pStyle w:val="ListParagraph"/>
        <w:jc w:val="both"/>
        <w:rPr>
          <w:sz w:val="22"/>
          <w:szCs w:val="22"/>
        </w:rPr>
      </w:pPr>
      <w:r>
        <w:rPr>
          <w:sz w:val="22"/>
          <w:szCs w:val="22"/>
        </w:rPr>
        <w:t>Lot 7</w:t>
      </w:r>
      <w:r>
        <w:rPr>
          <w:sz w:val="22"/>
          <w:szCs w:val="22"/>
        </w:rPr>
        <w:tab/>
      </w:r>
      <w:r w:rsidR="00F948F8" w:rsidRPr="00A774C3">
        <w:rPr>
          <w:sz w:val="22"/>
          <w:szCs w:val="22"/>
        </w:rPr>
        <w:t xml:space="preserve">Bio Safety Cabinet with </w:t>
      </w:r>
      <w:r>
        <w:rPr>
          <w:sz w:val="22"/>
          <w:szCs w:val="22"/>
        </w:rPr>
        <w:t>i</w:t>
      </w:r>
      <w:r w:rsidR="00F948F8" w:rsidRPr="00A774C3">
        <w:rPr>
          <w:sz w:val="22"/>
          <w:szCs w:val="22"/>
        </w:rPr>
        <w:t>nstallation</w:t>
      </w:r>
      <w:r w:rsidR="004F2A43">
        <w:rPr>
          <w:sz w:val="22"/>
          <w:szCs w:val="22"/>
        </w:rPr>
        <w:t>, certification</w:t>
      </w:r>
      <w:r w:rsidR="00F948F8" w:rsidRPr="00A774C3">
        <w:rPr>
          <w:sz w:val="22"/>
          <w:szCs w:val="22"/>
        </w:rPr>
        <w:t xml:space="preserve"> and training </w:t>
      </w:r>
    </w:p>
    <w:p w:rsidR="00BE1C69" w:rsidRPr="00F948F8" w:rsidRDefault="00BE1C69" w:rsidP="00433CB1">
      <w:pPr>
        <w:rPr>
          <w:sz w:val="22"/>
          <w:szCs w:val="22"/>
          <w:lang w:val="en-US"/>
        </w:rPr>
      </w:pPr>
    </w:p>
    <w:p w:rsidR="006B3AD5" w:rsidRPr="00F17A0C" w:rsidRDefault="006B3AD5" w:rsidP="006B38E2">
      <w:pPr>
        <w:jc w:val="both"/>
        <w:rPr>
          <w:sz w:val="22"/>
          <w:szCs w:val="22"/>
        </w:rPr>
      </w:pPr>
      <w:r w:rsidRPr="00F17A0C">
        <w:rPr>
          <w:sz w:val="22"/>
          <w:szCs w:val="22"/>
        </w:rPr>
        <w:t>A description of the req</w:t>
      </w:r>
      <w:r w:rsidR="00F948F8">
        <w:rPr>
          <w:sz w:val="22"/>
          <w:szCs w:val="22"/>
        </w:rPr>
        <w:t xml:space="preserve">uired items and specifications for each lot </w:t>
      </w:r>
      <w:r w:rsidRPr="00F17A0C">
        <w:rPr>
          <w:sz w:val="22"/>
          <w:szCs w:val="22"/>
        </w:rPr>
        <w:t xml:space="preserve">can be found </w:t>
      </w:r>
      <w:r w:rsidR="00D75A96">
        <w:rPr>
          <w:sz w:val="22"/>
          <w:szCs w:val="22"/>
        </w:rPr>
        <w:t xml:space="preserve">as Annexes 4 and 5 </w:t>
      </w:r>
      <w:r w:rsidRPr="00F17A0C">
        <w:rPr>
          <w:sz w:val="22"/>
          <w:szCs w:val="22"/>
        </w:rPr>
        <w:t xml:space="preserve">in the same folder where this Invitation has been published: "Expression of Interest </w:t>
      </w:r>
      <w:r w:rsidR="00511CF7">
        <w:rPr>
          <w:sz w:val="22"/>
          <w:szCs w:val="22"/>
        </w:rPr>
        <w:t>–</w:t>
      </w:r>
      <w:r w:rsidRPr="00F17A0C">
        <w:rPr>
          <w:sz w:val="22"/>
          <w:szCs w:val="22"/>
        </w:rPr>
        <w:t xml:space="preserve"> </w:t>
      </w:r>
      <w:r w:rsidR="00511CF7">
        <w:rPr>
          <w:sz w:val="22"/>
          <w:szCs w:val="22"/>
        </w:rPr>
        <w:t xml:space="preserve">Supplies of </w:t>
      </w:r>
      <w:r w:rsidR="00A774C3">
        <w:rPr>
          <w:sz w:val="22"/>
          <w:szCs w:val="22"/>
        </w:rPr>
        <w:t xml:space="preserve">TB </w:t>
      </w:r>
      <w:r w:rsidR="00511CF7">
        <w:rPr>
          <w:sz w:val="22"/>
          <w:szCs w:val="22"/>
        </w:rPr>
        <w:t xml:space="preserve">laboratory </w:t>
      </w:r>
      <w:r w:rsidR="0009281B">
        <w:rPr>
          <w:sz w:val="22"/>
          <w:szCs w:val="22"/>
        </w:rPr>
        <w:t>instrument</w:t>
      </w:r>
      <w:r w:rsidR="001052CA">
        <w:rPr>
          <w:sz w:val="22"/>
          <w:szCs w:val="22"/>
        </w:rPr>
        <w:t>s</w:t>
      </w:r>
      <w:r w:rsidR="00511CF7">
        <w:rPr>
          <w:sz w:val="22"/>
          <w:szCs w:val="22"/>
        </w:rPr>
        <w:t xml:space="preserve">, </w:t>
      </w:r>
      <w:r w:rsidR="0009281B">
        <w:rPr>
          <w:sz w:val="22"/>
          <w:szCs w:val="22"/>
        </w:rPr>
        <w:t xml:space="preserve">tools, </w:t>
      </w:r>
      <w:r w:rsidR="00511CF7">
        <w:rPr>
          <w:sz w:val="22"/>
          <w:szCs w:val="22"/>
        </w:rPr>
        <w:t>chemicals</w:t>
      </w:r>
      <w:r w:rsidRPr="00F17A0C">
        <w:rPr>
          <w:sz w:val="22"/>
          <w:szCs w:val="22"/>
        </w:rPr>
        <w:t xml:space="preserve"> and </w:t>
      </w:r>
      <w:r w:rsidR="00511CF7" w:rsidRPr="00F17A0C">
        <w:rPr>
          <w:sz w:val="22"/>
          <w:szCs w:val="22"/>
        </w:rPr>
        <w:t>consumables”</w:t>
      </w:r>
      <w:r w:rsidRPr="00F17A0C">
        <w:rPr>
          <w:sz w:val="22"/>
          <w:szCs w:val="22"/>
        </w:rPr>
        <w:t xml:space="preserve"> on GDF's website at the following link: </w:t>
      </w:r>
    </w:p>
    <w:p w:rsidR="006B3AD5" w:rsidRDefault="00CF46BE" w:rsidP="006B3AD5">
      <w:pPr>
        <w:jc w:val="both"/>
        <w:rPr>
          <w:color w:val="000000"/>
          <w:sz w:val="22"/>
          <w:szCs w:val="22"/>
        </w:rPr>
      </w:pPr>
      <w:hyperlink r:id="rId11" w:history="1">
        <w:r w:rsidR="006B3AD5" w:rsidRPr="006E75EB">
          <w:rPr>
            <w:rStyle w:val="Hyperlink"/>
            <w:sz w:val="22"/>
            <w:szCs w:val="22"/>
          </w:rPr>
          <w:t>http://www.stoptb.org/gdf/drugsupply/procurement_notice.asp</w:t>
        </w:r>
      </w:hyperlink>
      <w:r w:rsidR="006B3AD5">
        <w:rPr>
          <w:color w:val="000000"/>
          <w:sz w:val="22"/>
          <w:szCs w:val="22"/>
        </w:rPr>
        <w:t xml:space="preserve"> </w:t>
      </w:r>
    </w:p>
    <w:p w:rsidR="006B3AD5" w:rsidRPr="00F17A0C" w:rsidRDefault="006B3AD5" w:rsidP="00433CB1">
      <w:pPr>
        <w:rPr>
          <w:sz w:val="22"/>
          <w:szCs w:val="22"/>
        </w:rPr>
      </w:pPr>
    </w:p>
    <w:p w:rsidR="00F948F8" w:rsidRDefault="00F948F8" w:rsidP="006B38E2">
      <w:pPr>
        <w:rPr>
          <w:sz w:val="22"/>
          <w:szCs w:val="22"/>
        </w:rPr>
      </w:pPr>
      <w:r>
        <w:rPr>
          <w:sz w:val="22"/>
          <w:szCs w:val="22"/>
        </w:rPr>
        <w:t xml:space="preserve">The aim of this EOI is to select providers that can </w:t>
      </w:r>
      <w:r w:rsidR="00D75A96">
        <w:rPr>
          <w:sz w:val="22"/>
          <w:szCs w:val="22"/>
        </w:rPr>
        <w:t xml:space="preserve">supply </w:t>
      </w:r>
      <w:r>
        <w:rPr>
          <w:sz w:val="22"/>
          <w:szCs w:val="22"/>
        </w:rPr>
        <w:t>all lot</w:t>
      </w:r>
      <w:r w:rsidR="00B62563">
        <w:rPr>
          <w:sz w:val="22"/>
          <w:szCs w:val="22"/>
        </w:rPr>
        <w:t>s</w:t>
      </w:r>
      <w:r>
        <w:rPr>
          <w:sz w:val="22"/>
          <w:szCs w:val="22"/>
        </w:rPr>
        <w:t xml:space="preserve">. </w:t>
      </w:r>
      <w:r w:rsidR="00D75A96">
        <w:rPr>
          <w:sz w:val="22"/>
          <w:szCs w:val="22"/>
        </w:rPr>
        <w:t xml:space="preserve">However, where deemed in the interest of GDF/GIZ, contract awards may be made to selected suppliers </w:t>
      </w:r>
      <w:r>
        <w:rPr>
          <w:sz w:val="22"/>
          <w:szCs w:val="22"/>
        </w:rPr>
        <w:t xml:space="preserve">for </w:t>
      </w:r>
      <w:r w:rsidR="003256A9">
        <w:rPr>
          <w:sz w:val="22"/>
          <w:szCs w:val="22"/>
        </w:rPr>
        <w:t>specific</w:t>
      </w:r>
      <w:r>
        <w:rPr>
          <w:sz w:val="22"/>
          <w:szCs w:val="22"/>
        </w:rPr>
        <w:t xml:space="preserve"> lots.</w:t>
      </w:r>
      <w:r w:rsidR="00D75A96">
        <w:rPr>
          <w:sz w:val="22"/>
          <w:szCs w:val="22"/>
        </w:rPr>
        <w:t xml:space="preserve"> For such case, providers are free to limit their submissions under this EOI to specific Lot(s).</w:t>
      </w:r>
    </w:p>
    <w:p w:rsidR="00F948F8" w:rsidRDefault="00F948F8" w:rsidP="006B3AD5">
      <w:pPr>
        <w:rPr>
          <w:sz w:val="22"/>
          <w:szCs w:val="22"/>
        </w:rPr>
      </w:pPr>
    </w:p>
    <w:p w:rsidR="006B3AD5" w:rsidRPr="00511CF7" w:rsidRDefault="00511CF7" w:rsidP="006B38E2">
      <w:pPr>
        <w:rPr>
          <w:sz w:val="22"/>
          <w:szCs w:val="22"/>
        </w:rPr>
      </w:pPr>
      <w:r>
        <w:rPr>
          <w:sz w:val="22"/>
          <w:szCs w:val="22"/>
        </w:rPr>
        <w:t>P</w:t>
      </w:r>
      <w:r w:rsidR="006B3AD5" w:rsidRPr="00511CF7">
        <w:rPr>
          <w:sz w:val="22"/>
          <w:szCs w:val="22"/>
        </w:rPr>
        <w:t xml:space="preserve">roducts </w:t>
      </w:r>
      <w:r w:rsidR="006B38E2">
        <w:rPr>
          <w:sz w:val="22"/>
          <w:szCs w:val="22"/>
        </w:rPr>
        <w:t>will need to</w:t>
      </w:r>
      <w:r w:rsidR="006B38E2" w:rsidRPr="00511CF7">
        <w:rPr>
          <w:sz w:val="22"/>
          <w:szCs w:val="22"/>
        </w:rPr>
        <w:t xml:space="preserve"> </w:t>
      </w:r>
      <w:r w:rsidR="006B3AD5" w:rsidRPr="00511CF7">
        <w:rPr>
          <w:sz w:val="22"/>
          <w:szCs w:val="22"/>
        </w:rPr>
        <w:t>be registered in a highly regulated environment, such as in the US (US FDA), an EU Member State, Japan or bear the CE marking or equivalent.</w:t>
      </w:r>
      <w:r w:rsidR="0009281B">
        <w:rPr>
          <w:sz w:val="22"/>
          <w:szCs w:val="22"/>
        </w:rPr>
        <w:t xml:space="preserve"> This is to be indicated in the respective column in Annex 4.</w:t>
      </w:r>
    </w:p>
    <w:p w:rsidR="00352CD7" w:rsidRPr="003D307D" w:rsidRDefault="00352CD7" w:rsidP="00433CB1">
      <w:pPr>
        <w:rPr>
          <w:color w:val="000000"/>
          <w:sz w:val="22"/>
          <w:szCs w:val="22"/>
        </w:rPr>
      </w:pPr>
    </w:p>
    <w:p w:rsidR="003D307D" w:rsidRPr="003D307D" w:rsidRDefault="003D307D" w:rsidP="003D307D">
      <w:pPr>
        <w:jc w:val="both"/>
        <w:rPr>
          <w:sz w:val="22"/>
          <w:szCs w:val="22"/>
          <w:u w:val="single"/>
        </w:rPr>
      </w:pPr>
      <w:r w:rsidRPr="003D307D">
        <w:rPr>
          <w:sz w:val="22"/>
          <w:szCs w:val="22"/>
          <w:u w:val="single"/>
        </w:rPr>
        <w:t>Evaluation</w:t>
      </w:r>
    </w:p>
    <w:p w:rsidR="003D307D" w:rsidRPr="003D307D" w:rsidRDefault="003D307D" w:rsidP="003D307D">
      <w:pPr>
        <w:jc w:val="both"/>
        <w:rPr>
          <w:sz w:val="22"/>
          <w:szCs w:val="22"/>
        </w:rPr>
      </w:pPr>
    </w:p>
    <w:p w:rsidR="003D307D" w:rsidRPr="00124D93" w:rsidRDefault="003D307D" w:rsidP="006B38E2">
      <w:pPr>
        <w:jc w:val="both"/>
        <w:rPr>
          <w:sz w:val="22"/>
          <w:szCs w:val="22"/>
        </w:rPr>
      </w:pPr>
      <w:r w:rsidRPr="008E0F6F">
        <w:rPr>
          <w:sz w:val="22"/>
          <w:szCs w:val="22"/>
        </w:rPr>
        <w:t>The purpose of this Call for Expression</w:t>
      </w:r>
      <w:r w:rsidR="00E572CF" w:rsidRPr="008E0F6F">
        <w:rPr>
          <w:sz w:val="22"/>
          <w:szCs w:val="22"/>
        </w:rPr>
        <w:t>s</w:t>
      </w:r>
      <w:r w:rsidRPr="008E0F6F">
        <w:rPr>
          <w:sz w:val="22"/>
          <w:szCs w:val="22"/>
        </w:rPr>
        <w:t xml:space="preserve"> of Interest (EOI</w:t>
      </w:r>
      <w:r w:rsidRPr="00836986">
        <w:rPr>
          <w:sz w:val="22"/>
          <w:szCs w:val="22"/>
        </w:rPr>
        <w:t>) is to short-list potential providers</w:t>
      </w:r>
      <w:r w:rsidRPr="008E0F6F">
        <w:rPr>
          <w:sz w:val="22"/>
          <w:szCs w:val="22"/>
        </w:rPr>
        <w:t xml:space="preserve"> </w:t>
      </w:r>
      <w:r w:rsidR="00293520" w:rsidRPr="008E0F6F">
        <w:rPr>
          <w:color w:val="000000"/>
          <w:sz w:val="22"/>
          <w:szCs w:val="22"/>
        </w:rPr>
        <w:t xml:space="preserve">of </w:t>
      </w:r>
      <w:r w:rsidR="00F17A0C" w:rsidRPr="008E0F6F">
        <w:rPr>
          <w:color w:val="000000"/>
          <w:sz w:val="22"/>
          <w:szCs w:val="22"/>
        </w:rPr>
        <w:t xml:space="preserve">the above </w:t>
      </w:r>
      <w:r w:rsidR="00F948F8" w:rsidRPr="008E0F6F">
        <w:rPr>
          <w:color w:val="000000"/>
          <w:sz w:val="22"/>
          <w:szCs w:val="22"/>
        </w:rPr>
        <w:t>products</w:t>
      </w:r>
      <w:r w:rsidR="00F17A0C" w:rsidRPr="008E0F6F">
        <w:rPr>
          <w:color w:val="000000"/>
          <w:sz w:val="22"/>
          <w:szCs w:val="22"/>
        </w:rPr>
        <w:t xml:space="preserve"> </w:t>
      </w:r>
      <w:r w:rsidRPr="008E0F6F">
        <w:rPr>
          <w:sz w:val="22"/>
          <w:szCs w:val="22"/>
        </w:rPr>
        <w:t xml:space="preserve">for an </w:t>
      </w:r>
      <w:r w:rsidR="00293520" w:rsidRPr="00124D93">
        <w:rPr>
          <w:sz w:val="22"/>
          <w:szCs w:val="22"/>
        </w:rPr>
        <w:t>ITB</w:t>
      </w:r>
      <w:r w:rsidRPr="00124D93">
        <w:rPr>
          <w:sz w:val="22"/>
          <w:szCs w:val="22"/>
        </w:rPr>
        <w:t xml:space="preserve"> to be conducted by GIZ, </w:t>
      </w:r>
      <w:r w:rsidRPr="00836986">
        <w:rPr>
          <w:sz w:val="22"/>
          <w:szCs w:val="22"/>
        </w:rPr>
        <w:t xml:space="preserve">based </w:t>
      </w:r>
      <w:r w:rsidR="00293520" w:rsidRPr="00836986">
        <w:rPr>
          <w:sz w:val="22"/>
          <w:szCs w:val="22"/>
        </w:rPr>
        <w:t>on a technical assessment</w:t>
      </w:r>
      <w:r w:rsidR="00293520" w:rsidRPr="008E0F6F">
        <w:rPr>
          <w:sz w:val="22"/>
          <w:szCs w:val="22"/>
        </w:rPr>
        <w:t xml:space="preserve">. </w:t>
      </w:r>
      <w:r w:rsidR="00293520" w:rsidRPr="00836986">
        <w:rPr>
          <w:sz w:val="22"/>
          <w:szCs w:val="22"/>
        </w:rPr>
        <w:t xml:space="preserve">The ITB will then </w:t>
      </w:r>
      <w:r w:rsidR="00433CB1" w:rsidRPr="00836986">
        <w:rPr>
          <w:sz w:val="22"/>
          <w:szCs w:val="22"/>
        </w:rPr>
        <w:t xml:space="preserve">be focussed on a </w:t>
      </w:r>
      <w:r w:rsidR="00293520" w:rsidRPr="00836986">
        <w:rPr>
          <w:sz w:val="22"/>
          <w:szCs w:val="22"/>
        </w:rPr>
        <w:t>commercial evaluation</w:t>
      </w:r>
      <w:r w:rsidR="00433CB1" w:rsidRPr="008E0F6F">
        <w:rPr>
          <w:sz w:val="22"/>
          <w:szCs w:val="22"/>
        </w:rPr>
        <w:t>.</w:t>
      </w:r>
      <w:r w:rsidR="00D05B05" w:rsidRPr="008E0F6F">
        <w:rPr>
          <w:sz w:val="22"/>
          <w:szCs w:val="22"/>
        </w:rPr>
        <w:t xml:space="preserve"> The successful bidder(s) will be awarded a one year long-term agreement, extendable </w:t>
      </w:r>
      <w:r w:rsidR="006B38E2" w:rsidRPr="00124D93">
        <w:rPr>
          <w:sz w:val="22"/>
          <w:szCs w:val="22"/>
        </w:rPr>
        <w:t>up to four</w:t>
      </w:r>
      <w:r w:rsidR="00D05B05" w:rsidRPr="00124D93">
        <w:rPr>
          <w:sz w:val="22"/>
          <w:szCs w:val="22"/>
        </w:rPr>
        <w:t xml:space="preserve"> further periods of one year each.</w:t>
      </w:r>
    </w:p>
    <w:p w:rsidR="00A774C3" w:rsidRDefault="00A774C3" w:rsidP="00F17A0C">
      <w:pPr>
        <w:jc w:val="both"/>
        <w:rPr>
          <w:sz w:val="22"/>
          <w:szCs w:val="22"/>
        </w:rPr>
      </w:pPr>
    </w:p>
    <w:p w:rsidR="00A774C3" w:rsidRDefault="00A774C3" w:rsidP="006B38E2">
      <w:pPr>
        <w:jc w:val="both"/>
        <w:rPr>
          <w:sz w:val="22"/>
          <w:szCs w:val="22"/>
        </w:rPr>
      </w:pPr>
      <w:r>
        <w:rPr>
          <w:sz w:val="22"/>
          <w:szCs w:val="22"/>
        </w:rPr>
        <w:t>Technical evaluation is divided in</w:t>
      </w:r>
      <w:r w:rsidR="008E0F6F">
        <w:rPr>
          <w:sz w:val="22"/>
          <w:szCs w:val="22"/>
        </w:rPr>
        <w:t>to</w:t>
      </w:r>
      <w:r>
        <w:rPr>
          <w:sz w:val="22"/>
          <w:szCs w:val="22"/>
        </w:rPr>
        <w:t xml:space="preserve"> </w:t>
      </w:r>
      <w:r w:rsidR="006B38E2">
        <w:rPr>
          <w:sz w:val="22"/>
          <w:szCs w:val="22"/>
        </w:rPr>
        <w:t xml:space="preserve">three </w:t>
      </w:r>
      <w:r>
        <w:rPr>
          <w:sz w:val="22"/>
          <w:szCs w:val="22"/>
        </w:rPr>
        <w:t>parts:</w:t>
      </w:r>
    </w:p>
    <w:p w:rsidR="00A774C3" w:rsidRDefault="00A774C3" w:rsidP="00F17A0C">
      <w:pPr>
        <w:jc w:val="both"/>
        <w:rPr>
          <w:sz w:val="22"/>
          <w:szCs w:val="22"/>
        </w:rPr>
      </w:pPr>
    </w:p>
    <w:p w:rsidR="006B38E2" w:rsidRDefault="00A774C3" w:rsidP="008E0F6F">
      <w:pPr>
        <w:pStyle w:val="ListParagraph"/>
        <w:numPr>
          <w:ilvl w:val="0"/>
          <w:numId w:val="16"/>
        </w:numPr>
        <w:jc w:val="both"/>
        <w:rPr>
          <w:sz w:val="22"/>
          <w:szCs w:val="22"/>
        </w:rPr>
      </w:pPr>
      <w:r>
        <w:rPr>
          <w:sz w:val="22"/>
          <w:szCs w:val="22"/>
        </w:rPr>
        <w:t xml:space="preserve">Review of Company questionnaire </w:t>
      </w:r>
      <w:r w:rsidR="008E0F6F">
        <w:rPr>
          <w:sz w:val="22"/>
          <w:szCs w:val="22"/>
        </w:rPr>
        <w:t xml:space="preserve">and  </w:t>
      </w:r>
      <w:r>
        <w:rPr>
          <w:sz w:val="22"/>
          <w:szCs w:val="22"/>
        </w:rPr>
        <w:t>related documents</w:t>
      </w:r>
    </w:p>
    <w:p w:rsidR="00A774C3" w:rsidRDefault="00124D93" w:rsidP="00A774C3">
      <w:pPr>
        <w:pStyle w:val="ListParagraph"/>
        <w:numPr>
          <w:ilvl w:val="0"/>
          <w:numId w:val="16"/>
        </w:numPr>
        <w:jc w:val="both"/>
        <w:rPr>
          <w:sz w:val="22"/>
          <w:szCs w:val="22"/>
        </w:rPr>
      </w:pPr>
      <w:r>
        <w:rPr>
          <w:sz w:val="22"/>
          <w:szCs w:val="22"/>
        </w:rPr>
        <w:t>S</w:t>
      </w:r>
      <w:r w:rsidR="00A774C3">
        <w:rPr>
          <w:sz w:val="22"/>
          <w:szCs w:val="22"/>
        </w:rPr>
        <w:t>creening of product technical data based on technical specifications</w:t>
      </w:r>
    </w:p>
    <w:p w:rsidR="00A774C3" w:rsidRDefault="00124D93" w:rsidP="00A774C3">
      <w:pPr>
        <w:pStyle w:val="ListParagraph"/>
        <w:numPr>
          <w:ilvl w:val="0"/>
          <w:numId w:val="16"/>
        </w:numPr>
        <w:jc w:val="both"/>
        <w:rPr>
          <w:sz w:val="22"/>
          <w:szCs w:val="22"/>
        </w:rPr>
      </w:pPr>
      <w:r>
        <w:rPr>
          <w:sz w:val="22"/>
          <w:szCs w:val="22"/>
        </w:rPr>
        <w:t>Additional r</w:t>
      </w:r>
      <w:r w:rsidR="00A774C3">
        <w:rPr>
          <w:sz w:val="22"/>
          <w:szCs w:val="22"/>
        </w:rPr>
        <w:t>eview of technical specifications based on sample testing and additional documentation (e.g. service manual of an instrument</w:t>
      </w:r>
      <w:r w:rsidR="001052CA">
        <w:rPr>
          <w:sz w:val="22"/>
          <w:szCs w:val="22"/>
        </w:rPr>
        <w:t>s</w:t>
      </w:r>
      <w:r w:rsidR="00A774C3">
        <w:rPr>
          <w:sz w:val="22"/>
          <w:szCs w:val="22"/>
        </w:rPr>
        <w:t>)</w:t>
      </w:r>
    </w:p>
    <w:p w:rsidR="003D307D" w:rsidRPr="003D307D" w:rsidRDefault="003D307D" w:rsidP="003D307D">
      <w:pPr>
        <w:jc w:val="both"/>
        <w:rPr>
          <w:sz w:val="22"/>
          <w:szCs w:val="22"/>
        </w:rPr>
      </w:pPr>
    </w:p>
    <w:p w:rsidR="006B38E2" w:rsidRPr="00157302" w:rsidRDefault="006B38E2" w:rsidP="00124D93">
      <w:pPr>
        <w:rPr>
          <w:sz w:val="22"/>
          <w:szCs w:val="22"/>
          <w:u w:val="single"/>
        </w:rPr>
      </w:pPr>
      <w:r w:rsidRPr="00157302">
        <w:rPr>
          <w:sz w:val="22"/>
          <w:szCs w:val="22"/>
          <w:u w:val="single"/>
        </w:rPr>
        <w:t xml:space="preserve">Instructions for </w:t>
      </w:r>
      <w:r w:rsidR="00124D93">
        <w:rPr>
          <w:sz w:val="22"/>
          <w:szCs w:val="22"/>
          <w:u w:val="single"/>
        </w:rPr>
        <w:t>p</w:t>
      </w:r>
      <w:r w:rsidRPr="00157302">
        <w:rPr>
          <w:sz w:val="22"/>
          <w:szCs w:val="22"/>
          <w:u w:val="single"/>
        </w:rPr>
        <w:t xml:space="preserve">roduct </w:t>
      </w:r>
      <w:r w:rsidR="00124D93">
        <w:rPr>
          <w:sz w:val="22"/>
          <w:szCs w:val="22"/>
          <w:u w:val="single"/>
        </w:rPr>
        <w:t>i</w:t>
      </w:r>
      <w:r w:rsidRPr="00157302">
        <w:rPr>
          <w:sz w:val="22"/>
          <w:szCs w:val="22"/>
          <w:u w:val="single"/>
        </w:rPr>
        <w:t>nformation</w:t>
      </w:r>
      <w:r w:rsidR="00124D93">
        <w:rPr>
          <w:sz w:val="22"/>
          <w:szCs w:val="22"/>
          <w:u w:val="single"/>
        </w:rPr>
        <w:t xml:space="preserve"> to be supplied by providers responding to this EOI</w:t>
      </w:r>
    </w:p>
    <w:p w:rsidR="006B38E2" w:rsidRDefault="006B38E2" w:rsidP="006B38E2">
      <w:pPr>
        <w:jc w:val="both"/>
        <w:rPr>
          <w:b/>
          <w:bCs/>
          <w:sz w:val="28"/>
          <w:szCs w:val="28"/>
        </w:rPr>
      </w:pPr>
    </w:p>
    <w:p w:rsidR="006B38E2" w:rsidRDefault="006B38E2" w:rsidP="00124D93">
      <w:pPr>
        <w:jc w:val="both"/>
        <w:rPr>
          <w:sz w:val="22"/>
          <w:szCs w:val="22"/>
        </w:rPr>
      </w:pPr>
      <w:r>
        <w:rPr>
          <w:sz w:val="22"/>
          <w:szCs w:val="22"/>
        </w:rPr>
        <w:t xml:space="preserve">Three documents </w:t>
      </w:r>
      <w:r w:rsidR="00124D93">
        <w:rPr>
          <w:sz w:val="22"/>
          <w:szCs w:val="22"/>
        </w:rPr>
        <w:t xml:space="preserve">form </w:t>
      </w:r>
      <w:r>
        <w:rPr>
          <w:sz w:val="22"/>
          <w:szCs w:val="22"/>
        </w:rPr>
        <w:t xml:space="preserve">part of </w:t>
      </w:r>
      <w:r w:rsidR="00124D93">
        <w:rPr>
          <w:sz w:val="22"/>
          <w:szCs w:val="22"/>
        </w:rPr>
        <w:t xml:space="preserve">the </w:t>
      </w:r>
      <w:r>
        <w:rPr>
          <w:sz w:val="22"/>
          <w:szCs w:val="22"/>
        </w:rPr>
        <w:t>product information</w:t>
      </w:r>
    </w:p>
    <w:p w:rsidR="006B38E2" w:rsidRDefault="006B38E2" w:rsidP="006B38E2">
      <w:pPr>
        <w:jc w:val="both"/>
        <w:rPr>
          <w:sz w:val="22"/>
          <w:szCs w:val="22"/>
        </w:rPr>
      </w:pPr>
    </w:p>
    <w:p w:rsidR="006B38E2" w:rsidRPr="00836986" w:rsidRDefault="006B38E2" w:rsidP="00836986">
      <w:pPr>
        <w:pStyle w:val="ListParagraph"/>
        <w:numPr>
          <w:ilvl w:val="0"/>
          <w:numId w:val="20"/>
        </w:numPr>
        <w:jc w:val="both"/>
        <w:rPr>
          <w:b/>
          <w:sz w:val="22"/>
          <w:szCs w:val="22"/>
        </w:rPr>
      </w:pPr>
      <w:r w:rsidRPr="00836986">
        <w:rPr>
          <w:b/>
          <w:sz w:val="22"/>
          <w:szCs w:val="22"/>
        </w:rPr>
        <w:t xml:space="preserve">Annex 4 - Detailed Product List for EOI - March 2013 </w:t>
      </w:r>
    </w:p>
    <w:p w:rsidR="006B38E2" w:rsidRDefault="006B38E2" w:rsidP="006B38E2">
      <w:pPr>
        <w:jc w:val="both"/>
        <w:rPr>
          <w:sz w:val="22"/>
          <w:szCs w:val="22"/>
        </w:rPr>
      </w:pPr>
      <w:r>
        <w:rPr>
          <w:sz w:val="22"/>
          <w:szCs w:val="22"/>
        </w:rPr>
        <w:t>All different products from each lot are listed in this file.</w:t>
      </w:r>
    </w:p>
    <w:p w:rsidR="006B38E2" w:rsidRDefault="00124D93" w:rsidP="006B38E2">
      <w:pPr>
        <w:jc w:val="both"/>
        <w:rPr>
          <w:sz w:val="22"/>
          <w:szCs w:val="22"/>
        </w:rPr>
      </w:pPr>
      <w:r>
        <w:rPr>
          <w:sz w:val="22"/>
          <w:szCs w:val="22"/>
        </w:rPr>
        <w:t xml:space="preserve">Respondent </w:t>
      </w:r>
      <w:r w:rsidR="006B38E2">
        <w:rPr>
          <w:sz w:val="22"/>
          <w:szCs w:val="22"/>
        </w:rPr>
        <w:t>must fill</w:t>
      </w:r>
      <w:r>
        <w:rPr>
          <w:sz w:val="22"/>
          <w:szCs w:val="22"/>
        </w:rPr>
        <w:t xml:space="preserve"> in</w:t>
      </w:r>
      <w:r w:rsidR="006B38E2">
        <w:rPr>
          <w:sz w:val="22"/>
          <w:szCs w:val="22"/>
        </w:rPr>
        <w:t xml:space="preserve"> the information in the column</w:t>
      </w:r>
      <w:r>
        <w:rPr>
          <w:sz w:val="22"/>
          <w:szCs w:val="22"/>
        </w:rPr>
        <w:t>s</w:t>
      </w:r>
      <w:r w:rsidR="006B38E2">
        <w:rPr>
          <w:sz w:val="22"/>
          <w:szCs w:val="22"/>
        </w:rPr>
        <w:t xml:space="preserve"> with blue colour header</w:t>
      </w:r>
      <w:r>
        <w:rPr>
          <w:sz w:val="22"/>
          <w:szCs w:val="22"/>
        </w:rPr>
        <w:t>s</w:t>
      </w:r>
    </w:p>
    <w:p w:rsidR="006B38E2" w:rsidRDefault="006B38E2" w:rsidP="006B38E2">
      <w:pPr>
        <w:jc w:val="both"/>
        <w:rPr>
          <w:sz w:val="22"/>
          <w:szCs w:val="22"/>
        </w:rPr>
      </w:pPr>
    </w:p>
    <w:p w:rsidR="006B38E2" w:rsidRPr="00836986" w:rsidRDefault="006B38E2" w:rsidP="006B38E2">
      <w:pPr>
        <w:jc w:val="both"/>
        <w:rPr>
          <w:sz w:val="22"/>
          <w:szCs w:val="22"/>
          <w:u w:val="single"/>
        </w:rPr>
      </w:pPr>
      <w:r w:rsidRPr="00836986">
        <w:rPr>
          <w:sz w:val="22"/>
          <w:szCs w:val="22"/>
          <w:u w:val="single"/>
        </w:rPr>
        <w:t xml:space="preserve">Column information: </w:t>
      </w:r>
    </w:p>
    <w:p w:rsidR="006B38E2" w:rsidRPr="00FD36DE" w:rsidRDefault="00A315C4" w:rsidP="006B38E2">
      <w:pPr>
        <w:pStyle w:val="ListParagraph"/>
        <w:numPr>
          <w:ilvl w:val="0"/>
          <w:numId w:val="17"/>
        </w:numPr>
        <w:jc w:val="both"/>
        <w:rPr>
          <w:sz w:val="22"/>
          <w:szCs w:val="22"/>
        </w:rPr>
      </w:pPr>
      <w:r w:rsidRPr="001052CA">
        <w:rPr>
          <w:i/>
          <w:iCs/>
          <w:sz w:val="22"/>
          <w:szCs w:val="22"/>
          <w:u w:val="single"/>
        </w:rPr>
        <w:t>GDF</w:t>
      </w:r>
      <w:r w:rsidR="006B38E2" w:rsidRPr="001052CA">
        <w:rPr>
          <w:i/>
          <w:iCs/>
          <w:sz w:val="22"/>
          <w:szCs w:val="22"/>
          <w:u w:val="single"/>
        </w:rPr>
        <w:t xml:space="preserve"> Specification</w:t>
      </w:r>
      <w:r w:rsidR="006B38E2" w:rsidRPr="00FD36DE">
        <w:rPr>
          <w:sz w:val="22"/>
          <w:szCs w:val="22"/>
          <w:u w:val="single"/>
        </w:rPr>
        <w:t>:</w:t>
      </w:r>
      <w:r w:rsidR="006B38E2" w:rsidRPr="00FD36DE">
        <w:rPr>
          <w:sz w:val="22"/>
          <w:szCs w:val="22"/>
        </w:rPr>
        <w:t xml:space="preserve"> Generic specification to be fulfill</w:t>
      </w:r>
      <w:r w:rsidR="006B38E2">
        <w:rPr>
          <w:sz w:val="22"/>
          <w:szCs w:val="22"/>
        </w:rPr>
        <w:t>ed</w:t>
      </w:r>
    </w:p>
    <w:p w:rsidR="006B38E2" w:rsidRPr="00FD36DE" w:rsidRDefault="006B38E2" w:rsidP="006B38E2">
      <w:pPr>
        <w:pStyle w:val="ListParagraph"/>
        <w:numPr>
          <w:ilvl w:val="0"/>
          <w:numId w:val="17"/>
        </w:numPr>
        <w:jc w:val="both"/>
        <w:rPr>
          <w:sz w:val="22"/>
          <w:szCs w:val="22"/>
        </w:rPr>
      </w:pPr>
      <w:r w:rsidRPr="001052CA">
        <w:rPr>
          <w:i/>
          <w:iCs/>
          <w:sz w:val="22"/>
          <w:szCs w:val="22"/>
          <w:u w:val="single"/>
        </w:rPr>
        <w:t>Detailed Specification</w:t>
      </w:r>
      <w:r w:rsidRPr="00FD36DE">
        <w:rPr>
          <w:sz w:val="22"/>
          <w:szCs w:val="22"/>
          <w:u w:val="single"/>
        </w:rPr>
        <w:t>:</w:t>
      </w:r>
      <w:r w:rsidR="007076AE">
        <w:rPr>
          <w:sz w:val="22"/>
          <w:szCs w:val="22"/>
        </w:rPr>
        <w:t xml:space="preserve"> Detailed specification</w:t>
      </w:r>
      <w:r w:rsidRPr="00FD36DE">
        <w:rPr>
          <w:sz w:val="22"/>
          <w:szCs w:val="22"/>
        </w:rPr>
        <w:t xml:space="preserve"> are </w:t>
      </w:r>
      <w:r>
        <w:rPr>
          <w:sz w:val="22"/>
          <w:szCs w:val="22"/>
        </w:rPr>
        <w:t>contained in A</w:t>
      </w:r>
      <w:r w:rsidRPr="00FD36DE">
        <w:rPr>
          <w:sz w:val="22"/>
          <w:szCs w:val="22"/>
        </w:rPr>
        <w:t>nnex</w:t>
      </w:r>
      <w:r w:rsidR="00124D93">
        <w:rPr>
          <w:sz w:val="22"/>
          <w:szCs w:val="22"/>
        </w:rPr>
        <w:t xml:space="preserve"> </w:t>
      </w:r>
      <w:r w:rsidRPr="00FD36DE">
        <w:rPr>
          <w:sz w:val="22"/>
          <w:szCs w:val="22"/>
        </w:rPr>
        <w:t xml:space="preserve">5 </w:t>
      </w:r>
    </w:p>
    <w:p w:rsidR="006B38E2" w:rsidRPr="00FD36DE" w:rsidRDefault="006B38E2" w:rsidP="006B38E2">
      <w:pPr>
        <w:pStyle w:val="ListParagraph"/>
        <w:numPr>
          <w:ilvl w:val="0"/>
          <w:numId w:val="17"/>
        </w:numPr>
        <w:jc w:val="both"/>
        <w:rPr>
          <w:sz w:val="22"/>
          <w:szCs w:val="22"/>
        </w:rPr>
      </w:pPr>
      <w:r w:rsidRPr="001052CA">
        <w:rPr>
          <w:i/>
          <w:iCs/>
          <w:sz w:val="22"/>
          <w:szCs w:val="22"/>
          <w:u w:val="single"/>
        </w:rPr>
        <w:t>Request for sample</w:t>
      </w:r>
      <w:r w:rsidRPr="00FD36DE">
        <w:rPr>
          <w:sz w:val="22"/>
          <w:szCs w:val="22"/>
          <w:u w:val="single"/>
        </w:rPr>
        <w:t>:</w:t>
      </w:r>
      <w:r w:rsidRPr="00FD36DE">
        <w:rPr>
          <w:sz w:val="22"/>
          <w:szCs w:val="22"/>
        </w:rPr>
        <w:t xml:space="preserve"> Sample will be requested for technical evaluation as described in </w:t>
      </w:r>
      <w:r>
        <w:rPr>
          <w:sz w:val="22"/>
          <w:szCs w:val="22"/>
        </w:rPr>
        <w:t xml:space="preserve">the </w:t>
      </w:r>
      <w:r w:rsidR="00124D93">
        <w:rPr>
          <w:sz w:val="22"/>
          <w:szCs w:val="22"/>
        </w:rPr>
        <w:t xml:space="preserve">Excel </w:t>
      </w:r>
      <w:r w:rsidRPr="00FD36DE">
        <w:rPr>
          <w:sz w:val="22"/>
          <w:szCs w:val="22"/>
        </w:rPr>
        <w:t xml:space="preserve">worksheet </w:t>
      </w:r>
      <w:r w:rsidR="00DF7FB8">
        <w:rPr>
          <w:sz w:val="22"/>
          <w:szCs w:val="22"/>
          <w:lang w:val="en-US"/>
        </w:rPr>
        <w:t>“</w:t>
      </w:r>
      <w:r w:rsidRPr="00FD36DE">
        <w:rPr>
          <w:sz w:val="22"/>
          <w:szCs w:val="22"/>
        </w:rPr>
        <w:t>Evaluation Method for sample</w:t>
      </w:r>
      <w:r w:rsidR="00DF7FB8">
        <w:rPr>
          <w:sz w:val="22"/>
          <w:szCs w:val="22"/>
        </w:rPr>
        <w:t>”</w:t>
      </w:r>
    </w:p>
    <w:p w:rsidR="006B38E2" w:rsidRPr="00FD36DE" w:rsidRDefault="006B38E2" w:rsidP="006B38E2">
      <w:pPr>
        <w:pStyle w:val="ListParagraph"/>
        <w:numPr>
          <w:ilvl w:val="0"/>
          <w:numId w:val="17"/>
        </w:numPr>
        <w:jc w:val="both"/>
        <w:rPr>
          <w:sz w:val="22"/>
          <w:szCs w:val="22"/>
        </w:rPr>
      </w:pPr>
      <w:r w:rsidRPr="001052CA">
        <w:rPr>
          <w:i/>
          <w:iCs/>
          <w:sz w:val="22"/>
          <w:szCs w:val="22"/>
          <w:u w:val="single"/>
        </w:rPr>
        <w:t>Link to</w:t>
      </w:r>
      <w:r w:rsidRPr="00FD36DE">
        <w:rPr>
          <w:sz w:val="22"/>
          <w:szCs w:val="22"/>
          <w:u w:val="single"/>
        </w:rPr>
        <w:t>:</w:t>
      </w:r>
      <w:r w:rsidRPr="00FD36DE">
        <w:rPr>
          <w:sz w:val="22"/>
          <w:szCs w:val="22"/>
        </w:rPr>
        <w:t xml:space="preserve"> Item number with which products </w:t>
      </w:r>
      <w:r>
        <w:rPr>
          <w:sz w:val="22"/>
          <w:szCs w:val="22"/>
        </w:rPr>
        <w:t>must</w:t>
      </w:r>
      <w:r w:rsidRPr="00FD36DE">
        <w:rPr>
          <w:sz w:val="22"/>
          <w:szCs w:val="22"/>
        </w:rPr>
        <w:t xml:space="preserve"> be compatible (e.g. tips with 1-channel pipette)</w:t>
      </w:r>
    </w:p>
    <w:p w:rsidR="006B38E2" w:rsidRDefault="006B38E2" w:rsidP="006B38E2">
      <w:pPr>
        <w:pStyle w:val="ListParagraph"/>
        <w:numPr>
          <w:ilvl w:val="0"/>
          <w:numId w:val="17"/>
        </w:numPr>
        <w:jc w:val="both"/>
        <w:rPr>
          <w:sz w:val="22"/>
          <w:szCs w:val="22"/>
        </w:rPr>
      </w:pPr>
      <w:r w:rsidRPr="001052CA">
        <w:rPr>
          <w:i/>
          <w:iCs/>
          <w:sz w:val="22"/>
          <w:szCs w:val="22"/>
          <w:u w:val="single"/>
        </w:rPr>
        <w:lastRenderedPageBreak/>
        <w:t>Importance</w:t>
      </w:r>
      <w:r w:rsidRPr="00FD36DE">
        <w:rPr>
          <w:sz w:val="22"/>
          <w:szCs w:val="22"/>
        </w:rPr>
        <w:t xml:space="preserve">: </w:t>
      </w:r>
      <w:r>
        <w:rPr>
          <w:sz w:val="22"/>
          <w:szCs w:val="22"/>
        </w:rPr>
        <w:t>There are 3 categories:</w:t>
      </w:r>
    </w:p>
    <w:p w:rsidR="006B38E2" w:rsidRDefault="006B38E2" w:rsidP="00157302">
      <w:pPr>
        <w:pStyle w:val="ListParagraph"/>
        <w:numPr>
          <w:ilvl w:val="0"/>
          <w:numId w:val="19"/>
        </w:numPr>
        <w:jc w:val="both"/>
        <w:rPr>
          <w:sz w:val="22"/>
          <w:szCs w:val="22"/>
        </w:rPr>
      </w:pPr>
      <w:r w:rsidRPr="00FD36DE">
        <w:rPr>
          <w:sz w:val="22"/>
          <w:szCs w:val="22"/>
        </w:rPr>
        <w:t>Always needed are regularly ordered</w:t>
      </w:r>
      <w:r>
        <w:rPr>
          <w:sz w:val="22"/>
          <w:szCs w:val="22"/>
        </w:rPr>
        <w:t xml:space="preserve"> products</w:t>
      </w:r>
    </w:p>
    <w:p w:rsidR="006B38E2" w:rsidRDefault="006B38E2" w:rsidP="00157302">
      <w:pPr>
        <w:pStyle w:val="ListParagraph"/>
        <w:numPr>
          <w:ilvl w:val="0"/>
          <w:numId w:val="19"/>
        </w:numPr>
        <w:jc w:val="both"/>
        <w:rPr>
          <w:sz w:val="22"/>
          <w:szCs w:val="22"/>
        </w:rPr>
      </w:pPr>
      <w:r>
        <w:rPr>
          <w:sz w:val="22"/>
          <w:szCs w:val="22"/>
        </w:rPr>
        <w:t>R</w:t>
      </w:r>
      <w:r w:rsidRPr="00FD36DE">
        <w:rPr>
          <w:sz w:val="22"/>
          <w:szCs w:val="22"/>
        </w:rPr>
        <w:t xml:space="preserve">egular </w:t>
      </w:r>
      <w:r>
        <w:rPr>
          <w:sz w:val="22"/>
          <w:szCs w:val="22"/>
        </w:rPr>
        <w:t xml:space="preserve">products </w:t>
      </w:r>
      <w:r w:rsidRPr="00FD36DE">
        <w:rPr>
          <w:sz w:val="22"/>
          <w:szCs w:val="22"/>
        </w:rPr>
        <w:t>are sometimes ordered</w:t>
      </w:r>
    </w:p>
    <w:p w:rsidR="006B38E2" w:rsidRPr="00FD36DE" w:rsidRDefault="006B38E2" w:rsidP="00157302">
      <w:pPr>
        <w:pStyle w:val="ListParagraph"/>
        <w:numPr>
          <w:ilvl w:val="0"/>
          <w:numId w:val="19"/>
        </w:numPr>
        <w:jc w:val="both"/>
        <w:rPr>
          <w:sz w:val="22"/>
          <w:szCs w:val="22"/>
        </w:rPr>
      </w:pPr>
      <w:r>
        <w:rPr>
          <w:sz w:val="22"/>
          <w:szCs w:val="22"/>
        </w:rPr>
        <w:t>O</w:t>
      </w:r>
      <w:r w:rsidRPr="00FD36DE">
        <w:rPr>
          <w:sz w:val="22"/>
          <w:szCs w:val="22"/>
        </w:rPr>
        <w:t xml:space="preserve">ptional </w:t>
      </w:r>
      <w:r>
        <w:rPr>
          <w:sz w:val="22"/>
          <w:szCs w:val="22"/>
        </w:rPr>
        <w:t xml:space="preserve">products </w:t>
      </w:r>
      <w:r w:rsidRPr="00FD36DE">
        <w:rPr>
          <w:sz w:val="22"/>
          <w:szCs w:val="22"/>
        </w:rPr>
        <w:t>are exceptionally ordered.</w:t>
      </w:r>
    </w:p>
    <w:p w:rsidR="006B38E2" w:rsidRDefault="006B38E2" w:rsidP="001052CA">
      <w:pPr>
        <w:pStyle w:val="ListParagraph"/>
        <w:numPr>
          <w:ilvl w:val="0"/>
          <w:numId w:val="17"/>
        </w:numPr>
        <w:jc w:val="both"/>
        <w:rPr>
          <w:sz w:val="22"/>
          <w:szCs w:val="22"/>
        </w:rPr>
      </w:pPr>
      <w:r w:rsidRPr="001052CA">
        <w:rPr>
          <w:i/>
          <w:iCs/>
          <w:sz w:val="22"/>
          <w:szCs w:val="22"/>
          <w:u w:val="single"/>
        </w:rPr>
        <w:t xml:space="preserve">Unit / package </w:t>
      </w:r>
      <w:r w:rsidR="00A315C4" w:rsidRPr="001052CA">
        <w:rPr>
          <w:i/>
          <w:iCs/>
          <w:sz w:val="22"/>
          <w:szCs w:val="22"/>
          <w:u w:val="single"/>
        </w:rPr>
        <w:t>GDF</w:t>
      </w:r>
      <w:r w:rsidRPr="00FD36DE">
        <w:rPr>
          <w:sz w:val="22"/>
          <w:szCs w:val="22"/>
        </w:rPr>
        <w:t xml:space="preserve">: Unit per pack on which </w:t>
      </w:r>
      <w:r>
        <w:rPr>
          <w:sz w:val="22"/>
          <w:szCs w:val="22"/>
        </w:rPr>
        <w:t xml:space="preserve">the </w:t>
      </w:r>
      <w:r w:rsidRPr="00FD36DE">
        <w:rPr>
          <w:sz w:val="22"/>
          <w:szCs w:val="22"/>
        </w:rPr>
        <w:t xml:space="preserve">commercial evaluation will be done. </w:t>
      </w:r>
      <w:r w:rsidR="001052CA">
        <w:rPr>
          <w:sz w:val="22"/>
          <w:szCs w:val="22"/>
        </w:rPr>
        <w:t>Respondent</w:t>
      </w:r>
      <w:r w:rsidRPr="00FD36DE">
        <w:rPr>
          <w:sz w:val="22"/>
          <w:szCs w:val="22"/>
        </w:rPr>
        <w:t xml:space="preserve"> can provide </w:t>
      </w:r>
      <w:r>
        <w:rPr>
          <w:sz w:val="22"/>
          <w:szCs w:val="22"/>
        </w:rPr>
        <w:t xml:space="preserve">a </w:t>
      </w:r>
      <w:r w:rsidRPr="00FD36DE">
        <w:rPr>
          <w:sz w:val="22"/>
          <w:szCs w:val="22"/>
        </w:rPr>
        <w:t xml:space="preserve">lower package unit but not </w:t>
      </w:r>
      <w:r>
        <w:rPr>
          <w:sz w:val="22"/>
          <w:szCs w:val="22"/>
        </w:rPr>
        <w:t>higher</w:t>
      </w:r>
      <w:r w:rsidR="001052CA">
        <w:rPr>
          <w:sz w:val="22"/>
          <w:szCs w:val="22"/>
        </w:rPr>
        <w:t xml:space="preserve"> one</w:t>
      </w:r>
      <w:r w:rsidRPr="00FD36DE">
        <w:rPr>
          <w:sz w:val="22"/>
          <w:szCs w:val="22"/>
        </w:rPr>
        <w:t>.</w:t>
      </w:r>
    </w:p>
    <w:p w:rsidR="00C51B1F" w:rsidRDefault="00765CF9" w:rsidP="00940C83">
      <w:pPr>
        <w:pStyle w:val="ListParagraph"/>
        <w:numPr>
          <w:ilvl w:val="0"/>
          <w:numId w:val="17"/>
        </w:numPr>
        <w:jc w:val="both"/>
        <w:rPr>
          <w:sz w:val="22"/>
          <w:szCs w:val="22"/>
        </w:rPr>
      </w:pPr>
      <w:r w:rsidRPr="001052CA">
        <w:rPr>
          <w:i/>
          <w:iCs/>
          <w:sz w:val="22"/>
          <w:szCs w:val="22"/>
          <w:u w:val="single"/>
        </w:rPr>
        <w:t>Historical and forecasted quantiti</w:t>
      </w:r>
      <w:r w:rsidRPr="001052CA">
        <w:rPr>
          <w:sz w:val="22"/>
          <w:szCs w:val="22"/>
          <w:u w:val="single"/>
        </w:rPr>
        <w:t>es</w:t>
      </w:r>
      <w:r w:rsidRPr="001052CA">
        <w:rPr>
          <w:sz w:val="22"/>
          <w:szCs w:val="22"/>
        </w:rPr>
        <w:t xml:space="preserve"> are </w:t>
      </w:r>
      <w:r w:rsidR="00940C83" w:rsidRPr="001052CA">
        <w:rPr>
          <w:sz w:val="22"/>
          <w:szCs w:val="22"/>
        </w:rPr>
        <w:t>provided only in regard</w:t>
      </w:r>
      <w:r w:rsidRPr="001052CA">
        <w:rPr>
          <w:sz w:val="22"/>
          <w:szCs w:val="22"/>
        </w:rPr>
        <w:t xml:space="preserve"> </w:t>
      </w:r>
      <w:r w:rsidR="00940C83" w:rsidRPr="001052CA">
        <w:rPr>
          <w:sz w:val="22"/>
          <w:szCs w:val="22"/>
        </w:rPr>
        <w:t>to the</w:t>
      </w:r>
      <w:r w:rsidRPr="001052CA">
        <w:rPr>
          <w:sz w:val="22"/>
          <w:szCs w:val="22"/>
        </w:rPr>
        <w:t xml:space="preserve"> EXPANDx-</w:t>
      </w:r>
      <w:r>
        <w:rPr>
          <w:sz w:val="22"/>
          <w:szCs w:val="22"/>
        </w:rPr>
        <w:t xml:space="preserve">TB project. </w:t>
      </w:r>
      <w:r w:rsidR="00940C83">
        <w:rPr>
          <w:sz w:val="22"/>
          <w:szCs w:val="22"/>
        </w:rPr>
        <w:t>D</w:t>
      </w:r>
      <w:r>
        <w:rPr>
          <w:sz w:val="22"/>
          <w:szCs w:val="22"/>
        </w:rPr>
        <w:t xml:space="preserve">ata for other </w:t>
      </w:r>
      <w:r w:rsidR="00C51B1F">
        <w:rPr>
          <w:sz w:val="22"/>
          <w:szCs w:val="22"/>
        </w:rPr>
        <w:t>potential</w:t>
      </w:r>
      <w:r>
        <w:rPr>
          <w:sz w:val="22"/>
          <w:szCs w:val="22"/>
        </w:rPr>
        <w:t xml:space="preserve"> procurement</w:t>
      </w:r>
      <w:r w:rsidR="00940C83">
        <w:rPr>
          <w:sz w:val="22"/>
          <w:szCs w:val="22"/>
        </w:rPr>
        <w:t xml:space="preserve"> is not available</w:t>
      </w:r>
      <w:r w:rsidR="00C51B1F">
        <w:rPr>
          <w:sz w:val="22"/>
          <w:szCs w:val="22"/>
        </w:rPr>
        <w:t xml:space="preserve">. </w:t>
      </w:r>
    </w:p>
    <w:p w:rsidR="00C51B1F" w:rsidRDefault="00C51B1F" w:rsidP="00C51B1F">
      <w:pPr>
        <w:pStyle w:val="ListParagraph"/>
        <w:jc w:val="both"/>
        <w:rPr>
          <w:sz w:val="22"/>
          <w:szCs w:val="22"/>
        </w:rPr>
      </w:pPr>
    </w:p>
    <w:p w:rsidR="00765CF9" w:rsidRPr="00836986" w:rsidRDefault="00C51B1F" w:rsidP="00C51B1F">
      <w:pPr>
        <w:pStyle w:val="ListParagraph"/>
        <w:jc w:val="both"/>
        <w:rPr>
          <w:sz w:val="22"/>
          <w:szCs w:val="22"/>
        </w:rPr>
      </w:pPr>
      <w:r w:rsidRPr="00836986">
        <w:rPr>
          <w:sz w:val="22"/>
          <w:szCs w:val="22"/>
        </w:rPr>
        <w:t xml:space="preserve">A list of laboratories </w:t>
      </w:r>
      <w:r>
        <w:rPr>
          <w:sz w:val="22"/>
          <w:szCs w:val="22"/>
        </w:rPr>
        <w:t xml:space="preserve">to which GDF has provided items under this EOI, to date, is </w:t>
      </w:r>
      <w:r w:rsidR="00940C83">
        <w:rPr>
          <w:sz w:val="22"/>
          <w:szCs w:val="22"/>
        </w:rPr>
        <w:t>given in Annex 2</w:t>
      </w:r>
      <w:r w:rsidR="001052CA">
        <w:rPr>
          <w:sz w:val="22"/>
          <w:szCs w:val="22"/>
        </w:rPr>
        <w:t>.</w:t>
      </w:r>
    </w:p>
    <w:p w:rsidR="006B38E2" w:rsidRDefault="006B38E2" w:rsidP="006B38E2">
      <w:pPr>
        <w:jc w:val="both"/>
        <w:rPr>
          <w:sz w:val="22"/>
          <w:szCs w:val="22"/>
        </w:rPr>
      </w:pPr>
    </w:p>
    <w:p w:rsidR="006B38E2" w:rsidRPr="00836986" w:rsidRDefault="006B38E2" w:rsidP="001052CA">
      <w:pPr>
        <w:pStyle w:val="ListParagraph"/>
        <w:numPr>
          <w:ilvl w:val="0"/>
          <w:numId w:val="20"/>
        </w:numPr>
        <w:jc w:val="both"/>
        <w:rPr>
          <w:b/>
          <w:sz w:val="22"/>
          <w:szCs w:val="22"/>
        </w:rPr>
      </w:pPr>
      <w:r w:rsidRPr="00836986">
        <w:rPr>
          <w:b/>
          <w:sz w:val="22"/>
          <w:szCs w:val="22"/>
        </w:rPr>
        <w:t>Annex 5 - Detailed Specification</w:t>
      </w:r>
      <w:r w:rsidR="007076AE">
        <w:rPr>
          <w:b/>
          <w:sz w:val="22"/>
          <w:szCs w:val="22"/>
        </w:rPr>
        <w:t>s</w:t>
      </w:r>
      <w:r w:rsidRPr="00836986">
        <w:rPr>
          <w:b/>
          <w:sz w:val="22"/>
          <w:szCs w:val="22"/>
        </w:rPr>
        <w:t xml:space="preserve"> for EOI - March 2013 </w:t>
      </w:r>
    </w:p>
    <w:p w:rsidR="006B38E2" w:rsidRDefault="006B38E2" w:rsidP="006B38E2">
      <w:pPr>
        <w:jc w:val="both"/>
        <w:rPr>
          <w:sz w:val="22"/>
          <w:szCs w:val="22"/>
        </w:rPr>
      </w:pPr>
    </w:p>
    <w:p w:rsidR="006B38E2" w:rsidRDefault="006B38E2" w:rsidP="00D51F2D">
      <w:pPr>
        <w:jc w:val="both"/>
        <w:rPr>
          <w:sz w:val="22"/>
          <w:szCs w:val="22"/>
        </w:rPr>
      </w:pPr>
      <w:r>
        <w:rPr>
          <w:sz w:val="22"/>
          <w:szCs w:val="22"/>
        </w:rPr>
        <w:t>These are detailed specification</w:t>
      </w:r>
      <w:r w:rsidR="007076AE">
        <w:rPr>
          <w:sz w:val="22"/>
          <w:szCs w:val="22"/>
        </w:rPr>
        <w:t>s</w:t>
      </w:r>
      <w:r>
        <w:rPr>
          <w:sz w:val="22"/>
          <w:szCs w:val="22"/>
        </w:rPr>
        <w:t xml:space="preserve"> for some important item</w:t>
      </w:r>
      <w:r w:rsidR="002F55D7">
        <w:rPr>
          <w:sz w:val="22"/>
          <w:szCs w:val="22"/>
        </w:rPr>
        <w:t>s</w:t>
      </w:r>
      <w:r>
        <w:rPr>
          <w:sz w:val="22"/>
          <w:szCs w:val="22"/>
        </w:rPr>
        <w:t xml:space="preserve">. </w:t>
      </w:r>
      <w:r w:rsidR="00940C83">
        <w:rPr>
          <w:sz w:val="22"/>
          <w:szCs w:val="22"/>
        </w:rPr>
        <w:t xml:space="preserve">Respondent </w:t>
      </w:r>
      <w:r>
        <w:rPr>
          <w:sz w:val="22"/>
          <w:szCs w:val="22"/>
        </w:rPr>
        <w:t xml:space="preserve">must fill </w:t>
      </w:r>
      <w:r w:rsidR="00940C83">
        <w:rPr>
          <w:sz w:val="22"/>
          <w:szCs w:val="22"/>
        </w:rPr>
        <w:t xml:space="preserve">in </w:t>
      </w:r>
      <w:r>
        <w:rPr>
          <w:sz w:val="22"/>
          <w:szCs w:val="22"/>
        </w:rPr>
        <w:t>the column on the far right and add a photo of the product.</w:t>
      </w:r>
      <w:r w:rsidR="00E62CF7">
        <w:rPr>
          <w:sz w:val="22"/>
          <w:szCs w:val="22"/>
        </w:rPr>
        <w:t xml:space="preserve"> For lot</w:t>
      </w:r>
      <w:r w:rsidR="0022289F">
        <w:rPr>
          <w:sz w:val="22"/>
          <w:szCs w:val="22"/>
        </w:rPr>
        <w:t>s</w:t>
      </w:r>
      <w:r w:rsidR="00E62CF7">
        <w:rPr>
          <w:sz w:val="22"/>
          <w:szCs w:val="22"/>
        </w:rPr>
        <w:t xml:space="preserve"> 6 and </w:t>
      </w:r>
      <w:r w:rsidR="0022289F">
        <w:rPr>
          <w:sz w:val="22"/>
          <w:szCs w:val="22"/>
        </w:rPr>
        <w:t>7</w:t>
      </w:r>
      <w:r w:rsidR="00E62CF7">
        <w:rPr>
          <w:sz w:val="22"/>
          <w:szCs w:val="22"/>
        </w:rPr>
        <w:t>, please provide brochure of products offered.</w:t>
      </w:r>
      <w:r w:rsidR="00D51F2D">
        <w:rPr>
          <w:sz w:val="22"/>
          <w:szCs w:val="22"/>
        </w:rPr>
        <w:t xml:space="preserve"> </w:t>
      </w:r>
    </w:p>
    <w:p w:rsidR="006B38E2" w:rsidRDefault="006B38E2" w:rsidP="006B38E2">
      <w:pPr>
        <w:jc w:val="both"/>
        <w:rPr>
          <w:sz w:val="22"/>
          <w:szCs w:val="22"/>
        </w:rPr>
      </w:pPr>
    </w:p>
    <w:p w:rsidR="006B38E2" w:rsidRPr="007076AE" w:rsidRDefault="006B38E2" w:rsidP="007076AE">
      <w:pPr>
        <w:pStyle w:val="ListParagraph"/>
        <w:numPr>
          <w:ilvl w:val="0"/>
          <w:numId w:val="20"/>
        </w:numPr>
        <w:jc w:val="both"/>
        <w:rPr>
          <w:b/>
          <w:bCs/>
          <w:sz w:val="22"/>
          <w:szCs w:val="22"/>
        </w:rPr>
      </w:pPr>
      <w:r w:rsidRPr="00836986">
        <w:rPr>
          <w:b/>
          <w:sz w:val="22"/>
          <w:szCs w:val="22"/>
        </w:rPr>
        <w:t xml:space="preserve">Annex 6 – </w:t>
      </w:r>
      <w:r w:rsidR="007076AE" w:rsidRPr="007076AE">
        <w:rPr>
          <w:b/>
          <w:bCs/>
          <w:sz w:val="22"/>
          <w:szCs w:val="22"/>
        </w:rPr>
        <w:t>Supplier Specification</w:t>
      </w:r>
      <w:r w:rsidR="007076AE">
        <w:rPr>
          <w:b/>
          <w:bCs/>
          <w:sz w:val="22"/>
          <w:szCs w:val="22"/>
        </w:rPr>
        <w:t>s</w:t>
      </w:r>
    </w:p>
    <w:p w:rsidR="006B38E2" w:rsidRDefault="006B38E2" w:rsidP="006B38E2">
      <w:pPr>
        <w:jc w:val="both"/>
        <w:rPr>
          <w:sz w:val="22"/>
          <w:szCs w:val="22"/>
        </w:rPr>
      </w:pPr>
    </w:p>
    <w:p w:rsidR="006B38E2" w:rsidRPr="008F4D5A" w:rsidRDefault="006B38E2" w:rsidP="00D51F2D">
      <w:pPr>
        <w:jc w:val="both"/>
        <w:rPr>
          <w:sz w:val="22"/>
          <w:szCs w:val="22"/>
        </w:rPr>
      </w:pPr>
      <w:r w:rsidRPr="008F4D5A">
        <w:rPr>
          <w:sz w:val="22"/>
          <w:szCs w:val="22"/>
        </w:rPr>
        <w:t>Th</w:t>
      </w:r>
      <w:r w:rsidR="00940C83" w:rsidRPr="008F4D5A">
        <w:rPr>
          <w:sz w:val="22"/>
          <w:szCs w:val="22"/>
        </w:rPr>
        <w:t>e</w:t>
      </w:r>
      <w:r w:rsidRPr="008F4D5A">
        <w:rPr>
          <w:sz w:val="22"/>
          <w:szCs w:val="22"/>
        </w:rPr>
        <w:t>s</w:t>
      </w:r>
      <w:r w:rsidR="00940C83" w:rsidRPr="008F4D5A">
        <w:rPr>
          <w:sz w:val="22"/>
          <w:szCs w:val="22"/>
        </w:rPr>
        <w:t xml:space="preserve">e </w:t>
      </w:r>
      <w:r w:rsidRPr="008F4D5A">
        <w:rPr>
          <w:sz w:val="22"/>
          <w:szCs w:val="22"/>
        </w:rPr>
        <w:t>document</w:t>
      </w:r>
      <w:r w:rsidR="00940C83" w:rsidRPr="008F4D5A">
        <w:rPr>
          <w:sz w:val="22"/>
          <w:szCs w:val="22"/>
        </w:rPr>
        <w:t xml:space="preserve">s are linked to </w:t>
      </w:r>
      <w:r w:rsidR="00A9196A" w:rsidRPr="008F4D5A">
        <w:rPr>
          <w:sz w:val="22"/>
          <w:szCs w:val="22"/>
        </w:rPr>
        <w:t xml:space="preserve">the Excel </w:t>
      </w:r>
      <w:r w:rsidR="00D51F2D" w:rsidRPr="008F4D5A">
        <w:rPr>
          <w:sz w:val="22"/>
          <w:szCs w:val="22"/>
        </w:rPr>
        <w:t>spread sheets</w:t>
      </w:r>
      <w:r w:rsidR="00A9196A" w:rsidRPr="008F4D5A">
        <w:rPr>
          <w:sz w:val="22"/>
          <w:szCs w:val="22"/>
        </w:rPr>
        <w:t xml:space="preserve"> in </w:t>
      </w:r>
      <w:r w:rsidR="00940C83" w:rsidRPr="008F4D5A">
        <w:rPr>
          <w:sz w:val="22"/>
          <w:szCs w:val="22"/>
        </w:rPr>
        <w:t>A</w:t>
      </w:r>
      <w:r w:rsidRPr="008F4D5A">
        <w:rPr>
          <w:sz w:val="22"/>
          <w:szCs w:val="22"/>
        </w:rPr>
        <w:t>nnex 4</w:t>
      </w:r>
      <w:r w:rsidR="00940C83" w:rsidRPr="008F4D5A">
        <w:rPr>
          <w:sz w:val="22"/>
          <w:szCs w:val="22"/>
        </w:rPr>
        <w:t xml:space="preserve"> </w:t>
      </w:r>
      <w:r w:rsidR="00A9196A" w:rsidRPr="008F4D5A">
        <w:rPr>
          <w:sz w:val="22"/>
          <w:szCs w:val="22"/>
        </w:rPr>
        <w:t>via</w:t>
      </w:r>
      <w:r w:rsidR="00940C83" w:rsidRPr="008F4D5A">
        <w:rPr>
          <w:sz w:val="22"/>
          <w:szCs w:val="22"/>
        </w:rPr>
        <w:t xml:space="preserve"> the merge/mailing function</w:t>
      </w:r>
      <w:r w:rsidR="00A9196A" w:rsidRPr="008F4D5A">
        <w:rPr>
          <w:sz w:val="22"/>
          <w:szCs w:val="22"/>
        </w:rPr>
        <w:t xml:space="preserve"> in Word</w:t>
      </w:r>
      <w:r w:rsidRPr="008F4D5A">
        <w:rPr>
          <w:sz w:val="22"/>
          <w:szCs w:val="22"/>
        </w:rPr>
        <w:t xml:space="preserve">. </w:t>
      </w:r>
    </w:p>
    <w:p w:rsidR="006B38E2" w:rsidRPr="008F4D5A" w:rsidRDefault="006B38E2" w:rsidP="006B38E2">
      <w:pPr>
        <w:pStyle w:val="ListParagraph"/>
        <w:numPr>
          <w:ilvl w:val="0"/>
          <w:numId w:val="18"/>
        </w:numPr>
        <w:jc w:val="both"/>
        <w:rPr>
          <w:sz w:val="22"/>
          <w:szCs w:val="22"/>
        </w:rPr>
      </w:pPr>
      <w:r w:rsidRPr="008F4D5A">
        <w:rPr>
          <w:sz w:val="22"/>
          <w:szCs w:val="22"/>
        </w:rPr>
        <w:t xml:space="preserve">Please check if </w:t>
      </w:r>
      <w:r w:rsidR="00940C83" w:rsidRPr="008F4D5A">
        <w:rPr>
          <w:sz w:val="22"/>
          <w:szCs w:val="22"/>
        </w:rPr>
        <w:t xml:space="preserve"> the </w:t>
      </w:r>
      <w:r w:rsidRPr="008F4D5A">
        <w:rPr>
          <w:sz w:val="22"/>
          <w:szCs w:val="22"/>
        </w:rPr>
        <w:t>link</w:t>
      </w:r>
      <w:r w:rsidR="00940C83" w:rsidRPr="008F4D5A">
        <w:rPr>
          <w:sz w:val="22"/>
          <w:szCs w:val="22"/>
        </w:rPr>
        <w:t>s</w:t>
      </w:r>
      <w:r w:rsidRPr="008F4D5A">
        <w:rPr>
          <w:sz w:val="22"/>
          <w:szCs w:val="22"/>
        </w:rPr>
        <w:t xml:space="preserve"> </w:t>
      </w:r>
      <w:r w:rsidR="00A9196A" w:rsidRPr="008F4D5A">
        <w:rPr>
          <w:sz w:val="22"/>
          <w:szCs w:val="22"/>
        </w:rPr>
        <w:t>are working between Word and E</w:t>
      </w:r>
      <w:r w:rsidRPr="008F4D5A">
        <w:rPr>
          <w:sz w:val="22"/>
          <w:szCs w:val="22"/>
        </w:rPr>
        <w:t>xcel document</w:t>
      </w:r>
      <w:r w:rsidR="00A9196A" w:rsidRPr="008F4D5A">
        <w:rPr>
          <w:sz w:val="22"/>
          <w:szCs w:val="22"/>
        </w:rPr>
        <w:t>s</w:t>
      </w:r>
    </w:p>
    <w:p w:rsidR="00D51F2D" w:rsidRPr="008F4D5A" w:rsidRDefault="00D51F2D" w:rsidP="006B38E2">
      <w:pPr>
        <w:pStyle w:val="ListParagraph"/>
        <w:numPr>
          <w:ilvl w:val="0"/>
          <w:numId w:val="18"/>
        </w:numPr>
        <w:jc w:val="both"/>
        <w:rPr>
          <w:sz w:val="22"/>
          <w:szCs w:val="22"/>
        </w:rPr>
      </w:pPr>
      <w:r w:rsidRPr="008F4D5A">
        <w:rPr>
          <w:sz w:val="22"/>
          <w:szCs w:val="22"/>
        </w:rPr>
        <w:t>If the links are not working, please re</w:t>
      </w:r>
      <w:r w:rsidR="00EE6DB4" w:rsidRPr="008F4D5A">
        <w:rPr>
          <w:sz w:val="22"/>
          <w:szCs w:val="22"/>
        </w:rPr>
        <w:t>-</w:t>
      </w:r>
      <w:r w:rsidRPr="008F4D5A">
        <w:rPr>
          <w:sz w:val="22"/>
          <w:szCs w:val="22"/>
        </w:rPr>
        <w:t xml:space="preserve">create them when opening </w:t>
      </w:r>
      <w:r w:rsidR="00EE6DB4" w:rsidRPr="008F4D5A">
        <w:rPr>
          <w:sz w:val="22"/>
          <w:szCs w:val="22"/>
        </w:rPr>
        <w:t xml:space="preserve">the </w:t>
      </w:r>
      <w:r w:rsidRPr="008F4D5A">
        <w:rPr>
          <w:sz w:val="22"/>
          <w:szCs w:val="22"/>
        </w:rPr>
        <w:t>word documents</w:t>
      </w:r>
    </w:p>
    <w:p w:rsidR="006B38E2" w:rsidRPr="008F4D5A" w:rsidRDefault="006B38E2" w:rsidP="00A9196A">
      <w:pPr>
        <w:pStyle w:val="ListParagraph"/>
        <w:numPr>
          <w:ilvl w:val="0"/>
          <w:numId w:val="18"/>
        </w:numPr>
        <w:jc w:val="both"/>
        <w:rPr>
          <w:sz w:val="22"/>
          <w:szCs w:val="22"/>
        </w:rPr>
      </w:pPr>
      <w:r w:rsidRPr="008F4D5A">
        <w:rPr>
          <w:sz w:val="22"/>
          <w:szCs w:val="22"/>
        </w:rPr>
        <w:t xml:space="preserve">When </w:t>
      </w:r>
      <w:r w:rsidR="00A9196A" w:rsidRPr="008F4D5A">
        <w:rPr>
          <w:sz w:val="22"/>
          <w:szCs w:val="22"/>
        </w:rPr>
        <w:t xml:space="preserve">the </w:t>
      </w:r>
      <w:r w:rsidRPr="008F4D5A">
        <w:rPr>
          <w:sz w:val="22"/>
          <w:szCs w:val="22"/>
        </w:rPr>
        <w:t xml:space="preserve">Excel document is </w:t>
      </w:r>
      <w:r w:rsidR="00A9196A" w:rsidRPr="008F4D5A">
        <w:rPr>
          <w:sz w:val="22"/>
          <w:szCs w:val="22"/>
        </w:rPr>
        <w:t>filled in</w:t>
      </w:r>
      <w:r w:rsidRPr="008F4D5A">
        <w:rPr>
          <w:sz w:val="22"/>
          <w:szCs w:val="22"/>
        </w:rPr>
        <w:t>, please merge both documents</w:t>
      </w:r>
    </w:p>
    <w:p w:rsidR="006B38E2" w:rsidRPr="008F4D5A" w:rsidRDefault="00A9196A" w:rsidP="006B38E2">
      <w:pPr>
        <w:pStyle w:val="ListParagraph"/>
        <w:numPr>
          <w:ilvl w:val="0"/>
          <w:numId w:val="18"/>
        </w:numPr>
        <w:jc w:val="both"/>
        <w:rPr>
          <w:sz w:val="22"/>
          <w:szCs w:val="22"/>
        </w:rPr>
      </w:pPr>
      <w:r w:rsidRPr="008F4D5A">
        <w:rPr>
          <w:sz w:val="22"/>
          <w:szCs w:val="22"/>
        </w:rPr>
        <w:t>Add photos of each item into the respective Word document</w:t>
      </w:r>
    </w:p>
    <w:p w:rsidR="006B38E2" w:rsidRPr="008F4D5A" w:rsidRDefault="00A9196A" w:rsidP="006B38E2">
      <w:pPr>
        <w:pStyle w:val="ListParagraph"/>
        <w:numPr>
          <w:ilvl w:val="0"/>
          <w:numId w:val="18"/>
        </w:numPr>
        <w:jc w:val="both"/>
        <w:rPr>
          <w:sz w:val="22"/>
          <w:szCs w:val="22"/>
        </w:rPr>
      </w:pPr>
      <w:r w:rsidRPr="008F4D5A">
        <w:rPr>
          <w:sz w:val="22"/>
          <w:szCs w:val="22"/>
        </w:rPr>
        <w:t>Save document created in step 3 as a PDF file.</w:t>
      </w:r>
    </w:p>
    <w:p w:rsidR="006B38E2" w:rsidRPr="001052CA" w:rsidRDefault="006B38E2" w:rsidP="006B38E2">
      <w:pPr>
        <w:jc w:val="both"/>
        <w:rPr>
          <w:sz w:val="22"/>
          <w:szCs w:val="22"/>
        </w:rPr>
      </w:pPr>
    </w:p>
    <w:p w:rsidR="006B38E2" w:rsidRPr="008451E5" w:rsidRDefault="007A6661" w:rsidP="00F04272">
      <w:pPr>
        <w:jc w:val="both"/>
        <w:rPr>
          <w:sz w:val="22"/>
          <w:szCs w:val="22"/>
        </w:rPr>
      </w:pPr>
      <w:r w:rsidRPr="001052CA">
        <w:rPr>
          <w:sz w:val="22"/>
          <w:szCs w:val="22"/>
        </w:rPr>
        <w:t>If there is any question concerning this process, please contact GDF</w:t>
      </w:r>
      <w:r w:rsidR="00F04272">
        <w:rPr>
          <w:sz w:val="22"/>
          <w:szCs w:val="22"/>
        </w:rPr>
        <w:t>.</w:t>
      </w:r>
      <w:r w:rsidR="00D51F2D">
        <w:rPr>
          <w:sz w:val="22"/>
          <w:szCs w:val="22"/>
        </w:rPr>
        <w:t xml:space="preserve"> </w:t>
      </w:r>
    </w:p>
    <w:p w:rsidR="006B38E2" w:rsidRDefault="006B38E2" w:rsidP="00AB125F">
      <w:pPr>
        <w:jc w:val="both"/>
        <w:rPr>
          <w:sz w:val="22"/>
          <w:szCs w:val="22"/>
        </w:rPr>
      </w:pPr>
    </w:p>
    <w:p w:rsidR="006B38E2" w:rsidRPr="003D307D" w:rsidRDefault="006B38E2" w:rsidP="006B38E2">
      <w:pPr>
        <w:jc w:val="both"/>
        <w:rPr>
          <w:sz w:val="22"/>
          <w:szCs w:val="22"/>
          <w:u w:val="single"/>
        </w:rPr>
      </w:pPr>
      <w:r w:rsidRPr="003D307D">
        <w:rPr>
          <w:sz w:val="22"/>
          <w:szCs w:val="22"/>
          <w:u w:val="single"/>
        </w:rPr>
        <w:t>Submissions</w:t>
      </w:r>
    </w:p>
    <w:p w:rsidR="006B38E2" w:rsidRPr="003D307D" w:rsidRDefault="006B38E2" w:rsidP="006B38E2">
      <w:pPr>
        <w:jc w:val="both"/>
        <w:rPr>
          <w:sz w:val="22"/>
          <w:szCs w:val="22"/>
        </w:rPr>
      </w:pPr>
    </w:p>
    <w:p w:rsidR="00D51F2D" w:rsidRPr="008F4D5A" w:rsidRDefault="00D51F2D" w:rsidP="00D51F2D">
      <w:pPr>
        <w:jc w:val="both"/>
        <w:rPr>
          <w:sz w:val="22"/>
          <w:szCs w:val="22"/>
        </w:rPr>
      </w:pPr>
      <w:r w:rsidRPr="008F4D5A">
        <w:rPr>
          <w:sz w:val="22"/>
          <w:szCs w:val="22"/>
        </w:rPr>
        <w:t>Interested companies are encouraged to indicate by 8</w:t>
      </w:r>
      <w:r w:rsidRPr="008F4D5A">
        <w:rPr>
          <w:sz w:val="22"/>
          <w:szCs w:val="22"/>
          <w:vertAlign w:val="superscript"/>
        </w:rPr>
        <w:t>th</w:t>
      </w:r>
      <w:r w:rsidRPr="008F4D5A">
        <w:rPr>
          <w:sz w:val="22"/>
          <w:szCs w:val="22"/>
        </w:rPr>
        <w:t xml:space="preserve"> April 2013 by email to </w:t>
      </w:r>
      <w:hyperlink r:id="rId12" w:history="1">
        <w:r w:rsidRPr="008F4D5A">
          <w:rPr>
            <w:rStyle w:val="Hyperlink"/>
            <w:sz w:val="22"/>
            <w:szCs w:val="22"/>
          </w:rPr>
          <w:t>vergest@who.int</w:t>
        </w:r>
      </w:hyperlink>
      <w:r w:rsidRPr="008F4D5A">
        <w:rPr>
          <w:sz w:val="22"/>
          <w:szCs w:val="22"/>
        </w:rPr>
        <w:t xml:space="preserve"> </w:t>
      </w:r>
      <w:r w:rsidR="00EE6DB4" w:rsidRPr="008F4D5A">
        <w:rPr>
          <w:sz w:val="22"/>
          <w:szCs w:val="22"/>
        </w:rPr>
        <w:t xml:space="preserve">cc </w:t>
      </w:r>
      <w:hyperlink r:id="rId13" w:history="1">
        <w:r w:rsidR="00EE6DB4" w:rsidRPr="008F4D5A">
          <w:rPr>
            <w:rStyle w:val="Hyperlink"/>
            <w:sz w:val="22"/>
            <w:szCs w:val="22"/>
          </w:rPr>
          <w:t>loeberj@who.int</w:t>
        </w:r>
      </w:hyperlink>
      <w:r w:rsidR="00EE6DB4" w:rsidRPr="008F4D5A">
        <w:rPr>
          <w:sz w:val="22"/>
          <w:szCs w:val="22"/>
        </w:rPr>
        <w:t xml:space="preserve"> </w:t>
      </w:r>
      <w:r w:rsidRPr="008F4D5A">
        <w:rPr>
          <w:sz w:val="22"/>
          <w:szCs w:val="22"/>
        </w:rPr>
        <w:t xml:space="preserve">their intention to submit a dossier in response to the EOI. </w:t>
      </w:r>
    </w:p>
    <w:p w:rsidR="00D51F2D" w:rsidRPr="008F4D5A" w:rsidRDefault="00D51F2D" w:rsidP="006B38E2">
      <w:pPr>
        <w:jc w:val="both"/>
        <w:rPr>
          <w:sz w:val="22"/>
          <w:szCs w:val="22"/>
        </w:rPr>
      </w:pPr>
    </w:p>
    <w:p w:rsidR="00D51F2D" w:rsidRPr="008F4D5A" w:rsidRDefault="00D51F2D" w:rsidP="00D51F2D">
      <w:pPr>
        <w:jc w:val="both"/>
        <w:rPr>
          <w:sz w:val="22"/>
          <w:szCs w:val="22"/>
        </w:rPr>
      </w:pPr>
      <w:r w:rsidRPr="008F4D5A">
        <w:rPr>
          <w:sz w:val="22"/>
          <w:szCs w:val="22"/>
        </w:rPr>
        <w:t>GDF will respond in writing to any request for clarification of the EOI that it receives at least seven calendar days prior to the closing date of the EOI.  A consolidated document of GDF's response to all questions (including an explanation of the query but without identifying the source of enquiry) will be posted weekly on the GDF website (on the webpage where the EOI is posted) and sent to all companies who have indicated to GDF their intention to submit a dossier in response to the EOI.</w:t>
      </w:r>
    </w:p>
    <w:p w:rsidR="00D51F2D" w:rsidRDefault="00D51F2D" w:rsidP="006B38E2">
      <w:pPr>
        <w:jc w:val="both"/>
        <w:rPr>
          <w:sz w:val="22"/>
          <w:szCs w:val="22"/>
        </w:rPr>
      </w:pPr>
    </w:p>
    <w:p w:rsidR="006B38E2" w:rsidRDefault="006B38E2" w:rsidP="006B38E2">
      <w:pPr>
        <w:jc w:val="both"/>
        <w:rPr>
          <w:sz w:val="22"/>
          <w:szCs w:val="22"/>
        </w:rPr>
      </w:pPr>
      <w:r w:rsidRPr="003D307D">
        <w:rPr>
          <w:sz w:val="22"/>
          <w:szCs w:val="22"/>
        </w:rPr>
        <w:t xml:space="preserve">All submissions will be assessed for acceptability to the GDF and providers will be notified in advance of the </w:t>
      </w:r>
      <w:r>
        <w:rPr>
          <w:sz w:val="22"/>
          <w:szCs w:val="22"/>
        </w:rPr>
        <w:t>ITB.</w:t>
      </w:r>
    </w:p>
    <w:p w:rsidR="006B38E2" w:rsidRPr="003D307D" w:rsidRDefault="006B38E2" w:rsidP="006B38E2">
      <w:pPr>
        <w:jc w:val="both"/>
        <w:rPr>
          <w:sz w:val="22"/>
          <w:szCs w:val="22"/>
        </w:rPr>
      </w:pPr>
    </w:p>
    <w:p w:rsidR="006B38E2" w:rsidRPr="00F17A0C" w:rsidRDefault="006B38E2" w:rsidP="002A681F">
      <w:pPr>
        <w:jc w:val="both"/>
        <w:rPr>
          <w:sz w:val="22"/>
          <w:szCs w:val="22"/>
        </w:rPr>
      </w:pPr>
      <w:r w:rsidRPr="003D307D">
        <w:rPr>
          <w:sz w:val="22"/>
          <w:szCs w:val="22"/>
        </w:rPr>
        <w:t xml:space="preserve">All providers interested in participating in the planned GIZ </w:t>
      </w:r>
      <w:r>
        <w:rPr>
          <w:sz w:val="22"/>
          <w:szCs w:val="22"/>
        </w:rPr>
        <w:t>ITB</w:t>
      </w:r>
      <w:r w:rsidRPr="003D307D">
        <w:rPr>
          <w:sz w:val="22"/>
          <w:szCs w:val="22"/>
        </w:rPr>
        <w:t xml:space="preserve"> are requested to submit company information</w:t>
      </w:r>
      <w:r w:rsidRPr="0063721D">
        <w:rPr>
          <w:sz w:val="22"/>
          <w:szCs w:val="22"/>
        </w:rPr>
        <w:t xml:space="preserve"> along with supporting documentation, as listed in the GDF Company Questionnaire</w:t>
      </w:r>
      <w:r>
        <w:rPr>
          <w:sz w:val="22"/>
          <w:szCs w:val="22"/>
        </w:rPr>
        <w:t xml:space="preserve"> in Annex 1</w:t>
      </w:r>
      <w:r w:rsidR="004C618D">
        <w:rPr>
          <w:sz w:val="22"/>
          <w:szCs w:val="22"/>
        </w:rPr>
        <w:t xml:space="preserve"> and</w:t>
      </w:r>
      <w:r w:rsidR="002A681F">
        <w:rPr>
          <w:sz w:val="22"/>
          <w:szCs w:val="22"/>
        </w:rPr>
        <w:t xml:space="preserve"> financial information in Annex 3</w:t>
      </w:r>
      <w:r w:rsidR="004C618D">
        <w:rPr>
          <w:sz w:val="22"/>
          <w:szCs w:val="22"/>
        </w:rPr>
        <w:t>.</w:t>
      </w:r>
      <w:r w:rsidRPr="0063721D">
        <w:rPr>
          <w:sz w:val="22"/>
          <w:szCs w:val="22"/>
        </w:rPr>
        <w:t xml:space="preserve"> </w:t>
      </w:r>
      <w:r w:rsidR="004C618D">
        <w:rPr>
          <w:sz w:val="22"/>
          <w:szCs w:val="22"/>
        </w:rPr>
        <w:t>Furthermore, respondents shall</w:t>
      </w:r>
      <w:r>
        <w:rPr>
          <w:sz w:val="22"/>
          <w:szCs w:val="22"/>
        </w:rPr>
        <w:t xml:space="preserve"> complete the detailed </w:t>
      </w:r>
      <w:r w:rsidRPr="00F17A0C">
        <w:rPr>
          <w:sz w:val="22"/>
          <w:szCs w:val="22"/>
        </w:rPr>
        <w:t>specification</w:t>
      </w:r>
      <w:r w:rsidR="002A681F">
        <w:rPr>
          <w:sz w:val="22"/>
          <w:szCs w:val="22"/>
        </w:rPr>
        <w:t>s</w:t>
      </w:r>
      <w:r w:rsidR="004C618D">
        <w:rPr>
          <w:sz w:val="22"/>
          <w:szCs w:val="22"/>
        </w:rPr>
        <w:t xml:space="preserve"> sheet filled with the respondent</w:t>
      </w:r>
      <w:r w:rsidRPr="00F17A0C">
        <w:rPr>
          <w:sz w:val="22"/>
          <w:szCs w:val="22"/>
        </w:rPr>
        <w:t>'s specification</w:t>
      </w:r>
      <w:r w:rsidR="007076AE">
        <w:rPr>
          <w:sz w:val="22"/>
          <w:szCs w:val="22"/>
        </w:rPr>
        <w:t>s</w:t>
      </w:r>
      <w:r>
        <w:rPr>
          <w:sz w:val="22"/>
          <w:szCs w:val="22"/>
        </w:rPr>
        <w:t>, Annex</w:t>
      </w:r>
      <w:r w:rsidR="002A681F">
        <w:rPr>
          <w:sz w:val="22"/>
          <w:szCs w:val="22"/>
        </w:rPr>
        <w:t>es</w:t>
      </w:r>
      <w:r>
        <w:rPr>
          <w:sz w:val="22"/>
          <w:szCs w:val="22"/>
        </w:rPr>
        <w:t xml:space="preserve"> </w:t>
      </w:r>
      <w:r w:rsidR="00A315C4">
        <w:rPr>
          <w:sz w:val="22"/>
          <w:szCs w:val="22"/>
        </w:rPr>
        <w:t>4, 5 and 6</w:t>
      </w:r>
      <w:r>
        <w:rPr>
          <w:sz w:val="22"/>
          <w:szCs w:val="22"/>
        </w:rPr>
        <w:t>,</w:t>
      </w:r>
      <w:r w:rsidRPr="00F17A0C">
        <w:rPr>
          <w:sz w:val="22"/>
          <w:szCs w:val="22"/>
        </w:rPr>
        <w:t xml:space="preserve"> </w:t>
      </w:r>
      <w:r w:rsidR="002A681F">
        <w:rPr>
          <w:sz w:val="22"/>
          <w:szCs w:val="22"/>
        </w:rPr>
        <w:t>all</w:t>
      </w:r>
      <w:r w:rsidRPr="00F17A0C">
        <w:rPr>
          <w:sz w:val="22"/>
          <w:szCs w:val="22"/>
        </w:rPr>
        <w:t xml:space="preserve"> also available in the folder </w:t>
      </w:r>
      <w:r w:rsidR="008F4D5A" w:rsidRPr="00F17A0C">
        <w:rPr>
          <w:sz w:val="22"/>
          <w:szCs w:val="22"/>
        </w:rPr>
        <w:t>“Expression</w:t>
      </w:r>
      <w:r w:rsidRPr="00F17A0C">
        <w:rPr>
          <w:sz w:val="22"/>
          <w:szCs w:val="22"/>
        </w:rPr>
        <w:t xml:space="preserve"> of Interest - </w:t>
      </w:r>
      <w:r>
        <w:rPr>
          <w:sz w:val="22"/>
          <w:szCs w:val="22"/>
        </w:rPr>
        <w:t xml:space="preserve">Supplies of TB laboratory </w:t>
      </w:r>
      <w:r w:rsidR="0009281B">
        <w:rPr>
          <w:sz w:val="22"/>
          <w:szCs w:val="22"/>
        </w:rPr>
        <w:t>instrument</w:t>
      </w:r>
      <w:r w:rsidR="001052CA">
        <w:rPr>
          <w:sz w:val="22"/>
          <w:szCs w:val="22"/>
        </w:rPr>
        <w:t>s</w:t>
      </w:r>
      <w:r>
        <w:rPr>
          <w:sz w:val="22"/>
          <w:szCs w:val="22"/>
        </w:rPr>
        <w:t>, chemicals</w:t>
      </w:r>
      <w:r w:rsidR="002A681F">
        <w:rPr>
          <w:sz w:val="22"/>
          <w:szCs w:val="22"/>
        </w:rPr>
        <w:t xml:space="preserve"> and consumables" at</w:t>
      </w:r>
      <w:r w:rsidRPr="00F17A0C">
        <w:rPr>
          <w:sz w:val="22"/>
          <w:szCs w:val="22"/>
        </w:rPr>
        <w:t>:</w:t>
      </w:r>
    </w:p>
    <w:p w:rsidR="006B38E2" w:rsidRPr="00A774C3" w:rsidRDefault="00CF46BE" w:rsidP="006B38E2">
      <w:pPr>
        <w:jc w:val="both"/>
        <w:rPr>
          <w:color w:val="000000"/>
          <w:sz w:val="22"/>
          <w:szCs w:val="22"/>
        </w:rPr>
      </w:pPr>
      <w:hyperlink r:id="rId14" w:history="1">
        <w:r w:rsidR="006B38E2" w:rsidRPr="006E75EB">
          <w:rPr>
            <w:rStyle w:val="Hyperlink"/>
            <w:sz w:val="22"/>
            <w:szCs w:val="22"/>
          </w:rPr>
          <w:t>http://www.stoptb.org/gdf/drugsupply/procurement_notice.asp</w:t>
        </w:r>
      </w:hyperlink>
      <w:r w:rsidR="006B38E2">
        <w:rPr>
          <w:color w:val="000000"/>
          <w:sz w:val="22"/>
          <w:szCs w:val="22"/>
        </w:rPr>
        <w:t xml:space="preserve"> </w:t>
      </w:r>
      <w:r w:rsidR="006B38E2" w:rsidRPr="003D307D">
        <w:rPr>
          <w:sz w:val="22"/>
          <w:szCs w:val="22"/>
        </w:rPr>
        <w:t>.</w:t>
      </w:r>
    </w:p>
    <w:p w:rsidR="006B38E2" w:rsidRDefault="006B38E2" w:rsidP="006B38E2">
      <w:pPr>
        <w:jc w:val="both"/>
        <w:rPr>
          <w:sz w:val="22"/>
          <w:szCs w:val="22"/>
        </w:rPr>
      </w:pPr>
    </w:p>
    <w:p w:rsidR="003D307D" w:rsidRPr="008F4D5A" w:rsidRDefault="003D307D" w:rsidP="00A13068">
      <w:pPr>
        <w:rPr>
          <w:sz w:val="22"/>
          <w:szCs w:val="22"/>
        </w:rPr>
      </w:pPr>
      <w:r w:rsidRPr="008F4D5A">
        <w:rPr>
          <w:sz w:val="22"/>
          <w:szCs w:val="22"/>
        </w:rPr>
        <w:t xml:space="preserve">Submissions are to be sent to the address listed hereunder no later than </w:t>
      </w:r>
      <w:r w:rsidR="007B4EF0" w:rsidRPr="008F4D5A">
        <w:rPr>
          <w:sz w:val="22"/>
          <w:szCs w:val="22"/>
        </w:rPr>
        <w:t>Monday</w:t>
      </w:r>
      <w:r w:rsidR="00152F66" w:rsidRPr="008F4D5A">
        <w:rPr>
          <w:sz w:val="22"/>
          <w:szCs w:val="22"/>
        </w:rPr>
        <w:t xml:space="preserve">, </w:t>
      </w:r>
      <w:r w:rsidR="00A13068" w:rsidRPr="008F4D5A">
        <w:rPr>
          <w:sz w:val="22"/>
          <w:szCs w:val="22"/>
        </w:rPr>
        <w:t>6</w:t>
      </w:r>
      <w:r w:rsidR="00E650E1" w:rsidRPr="008F4D5A">
        <w:rPr>
          <w:sz w:val="22"/>
          <w:szCs w:val="22"/>
        </w:rPr>
        <w:t xml:space="preserve"> </w:t>
      </w:r>
      <w:r w:rsidR="00A13068" w:rsidRPr="008F4D5A">
        <w:rPr>
          <w:sz w:val="22"/>
          <w:szCs w:val="22"/>
        </w:rPr>
        <w:t>May</w:t>
      </w:r>
      <w:r w:rsidR="00584512" w:rsidRPr="008F4D5A">
        <w:rPr>
          <w:sz w:val="22"/>
          <w:szCs w:val="22"/>
        </w:rPr>
        <w:t xml:space="preserve"> 2013</w:t>
      </w:r>
      <w:r w:rsidR="002475F6" w:rsidRPr="008F4D5A">
        <w:rPr>
          <w:sz w:val="22"/>
          <w:szCs w:val="22"/>
        </w:rPr>
        <w:t>, 13h00</w:t>
      </w:r>
      <w:r w:rsidR="00EE6DB4" w:rsidRPr="008F4D5A">
        <w:rPr>
          <w:sz w:val="22"/>
          <w:szCs w:val="22"/>
        </w:rPr>
        <w:t xml:space="preserve"> CET</w:t>
      </w:r>
      <w:r w:rsidRPr="008F4D5A">
        <w:rPr>
          <w:sz w:val="22"/>
          <w:szCs w:val="22"/>
        </w:rPr>
        <w:t>. Data should be submitted in hard copy (paper) form in four (4) originals by registered courier</w:t>
      </w:r>
      <w:r w:rsidR="00044132" w:rsidRPr="008F4D5A">
        <w:rPr>
          <w:sz w:val="22"/>
          <w:szCs w:val="22"/>
        </w:rPr>
        <w:t xml:space="preserve"> and in electronic copy (CD or USB key)</w:t>
      </w:r>
      <w:r w:rsidRPr="008F4D5A">
        <w:rPr>
          <w:sz w:val="22"/>
          <w:szCs w:val="22"/>
        </w:rPr>
        <w:t>.</w:t>
      </w:r>
    </w:p>
    <w:p w:rsidR="00584512" w:rsidRDefault="00584512" w:rsidP="00F17A0C">
      <w:pPr>
        <w:jc w:val="both"/>
        <w:rPr>
          <w:sz w:val="22"/>
          <w:szCs w:val="22"/>
        </w:rPr>
      </w:pPr>
    </w:p>
    <w:p w:rsidR="00584512" w:rsidRPr="008F4D5A" w:rsidRDefault="004C618D" w:rsidP="00EE6DB4">
      <w:pPr>
        <w:jc w:val="both"/>
        <w:rPr>
          <w:sz w:val="22"/>
          <w:szCs w:val="22"/>
        </w:rPr>
      </w:pPr>
      <w:r w:rsidRPr="008F4D5A">
        <w:rPr>
          <w:sz w:val="22"/>
          <w:szCs w:val="22"/>
        </w:rPr>
        <w:lastRenderedPageBreak/>
        <w:t>Providers f</w:t>
      </w:r>
      <w:r w:rsidR="002475F6" w:rsidRPr="008F4D5A">
        <w:rPr>
          <w:sz w:val="22"/>
          <w:szCs w:val="22"/>
        </w:rPr>
        <w:t>ound</w:t>
      </w:r>
      <w:r w:rsidRPr="008F4D5A">
        <w:rPr>
          <w:sz w:val="22"/>
          <w:szCs w:val="22"/>
        </w:rPr>
        <w:t xml:space="preserve"> </w:t>
      </w:r>
      <w:r w:rsidR="002475F6" w:rsidRPr="008F4D5A">
        <w:rPr>
          <w:sz w:val="22"/>
          <w:szCs w:val="22"/>
        </w:rPr>
        <w:t>compliant</w:t>
      </w:r>
      <w:r w:rsidRPr="008F4D5A">
        <w:rPr>
          <w:sz w:val="22"/>
          <w:szCs w:val="22"/>
        </w:rPr>
        <w:t xml:space="preserve"> after steps 1 and 2 of the </w:t>
      </w:r>
      <w:r w:rsidR="00584512" w:rsidRPr="008F4D5A">
        <w:rPr>
          <w:sz w:val="22"/>
          <w:szCs w:val="22"/>
        </w:rPr>
        <w:t xml:space="preserve">evaluation (tentative </w:t>
      </w:r>
      <w:r w:rsidR="001052CA" w:rsidRPr="008F4D5A">
        <w:rPr>
          <w:sz w:val="22"/>
          <w:szCs w:val="22"/>
        </w:rPr>
        <w:t xml:space="preserve">week </w:t>
      </w:r>
      <w:r w:rsidR="00584512" w:rsidRPr="008F4D5A">
        <w:rPr>
          <w:sz w:val="22"/>
          <w:szCs w:val="22"/>
        </w:rPr>
        <w:t xml:space="preserve">for </w:t>
      </w:r>
      <w:r w:rsidR="00A53814" w:rsidRPr="008F4D5A">
        <w:rPr>
          <w:sz w:val="22"/>
          <w:szCs w:val="22"/>
        </w:rPr>
        <w:t xml:space="preserve">GDF </w:t>
      </w:r>
      <w:r w:rsidR="006B38E2" w:rsidRPr="008F4D5A">
        <w:rPr>
          <w:sz w:val="22"/>
          <w:szCs w:val="22"/>
        </w:rPr>
        <w:t>response</w:t>
      </w:r>
      <w:r w:rsidR="00584512" w:rsidRPr="008F4D5A">
        <w:rPr>
          <w:sz w:val="22"/>
          <w:szCs w:val="22"/>
        </w:rPr>
        <w:t xml:space="preserve">: </w:t>
      </w:r>
      <w:r w:rsidR="00EE6DB4" w:rsidRPr="008F4D5A">
        <w:rPr>
          <w:sz w:val="22"/>
          <w:szCs w:val="22"/>
        </w:rPr>
        <w:t xml:space="preserve">week </w:t>
      </w:r>
      <w:r w:rsidR="001052CA" w:rsidRPr="008F4D5A">
        <w:rPr>
          <w:sz w:val="22"/>
          <w:szCs w:val="22"/>
        </w:rPr>
        <w:t>2</w:t>
      </w:r>
      <w:r w:rsidR="00A13068" w:rsidRPr="008F4D5A">
        <w:rPr>
          <w:sz w:val="22"/>
          <w:szCs w:val="22"/>
        </w:rPr>
        <w:t>2 or 23</w:t>
      </w:r>
      <w:r w:rsidR="00584512" w:rsidRPr="008F4D5A">
        <w:rPr>
          <w:sz w:val="22"/>
          <w:szCs w:val="22"/>
        </w:rPr>
        <w:t xml:space="preserve">) will be requested to send samples </w:t>
      </w:r>
      <w:r w:rsidR="006B38E2" w:rsidRPr="008F4D5A">
        <w:rPr>
          <w:sz w:val="22"/>
          <w:szCs w:val="22"/>
        </w:rPr>
        <w:t xml:space="preserve">to a GDF designated </w:t>
      </w:r>
      <w:r w:rsidR="00584512" w:rsidRPr="008F4D5A">
        <w:rPr>
          <w:sz w:val="22"/>
          <w:szCs w:val="22"/>
        </w:rPr>
        <w:t xml:space="preserve">TB laboratory in India. </w:t>
      </w:r>
      <w:r w:rsidR="006B38E2" w:rsidRPr="008F4D5A">
        <w:rPr>
          <w:sz w:val="22"/>
          <w:szCs w:val="22"/>
        </w:rPr>
        <w:t>Providers should hold s</w:t>
      </w:r>
      <w:r w:rsidR="00584512" w:rsidRPr="008F4D5A">
        <w:rPr>
          <w:sz w:val="22"/>
          <w:szCs w:val="22"/>
        </w:rPr>
        <w:t xml:space="preserve">amples ready </w:t>
      </w:r>
      <w:r w:rsidR="00EE6DB4" w:rsidRPr="008F4D5A">
        <w:rPr>
          <w:sz w:val="22"/>
          <w:szCs w:val="22"/>
        </w:rPr>
        <w:t>from 1</w:t>
      </w:r>
      <w:r w:rsidR="00EE6DB4" w:rsidRPr="008F4D5A">
        <w:rPr>
          <w:sz w:val="22"/>
          <w:szCs w:val="22"/>
          <w:vertAlign w:val="superscript"/>
        </w:rPr>
        <w:t>st</w:t>
      </w:r>
      <w:r w:rsidR="00EE6DB4" w:rsidRPr="008F4D5A">
        <w:rPr>
          <w:sz w:val="22"/>
          <w:szCs w:val="22"/>
        </w:rPr>
        <w:t xml:space="preserve"> July 2013 </w:t>
      </w:r>
      <w:r w:rsidR="00584512" w:rsidRPr="008F4D5A">
        <w:rPr>
          <w:sz w:val="22"/>
          <w:szCs w:val="22"/>
        </w:rPr>
        <w:t xml:space="preserve">for dispatch </w:t>
      </w:r>
      <w:r w:rsidR="007B5ECD" w:rsidRPr="008F4D5A">
        <w:rPr>
          <w:sz w:val="22"/>
          <w:szCs w:val="22"/>
        </w:rPr>
        <w:t>to India</w:t>
      </w:r>
      <w:r w:rsidR="00584512" w:rsidRPr="008F4D5A">
        <w:rPr>
          <w:sz w:val="22"/>
          <w:szCs w:val="22"/>
        </w:rPr>
        <w:t>.</w:t>
      </w:r>
      <w:r w:rsidR="003563EA" w:rsidRPr="008F4D5A">
        <w:rPr>
          <w:sz w:val="22"/>
          <w:szCs w:val="22"/>
        </w:rPr>
        <w:t xml:space="preserve"> </w:t>
      </w:r>
      <w:r w:rsidR="007B5ECD" w:rsidRPr="008F4D5A">
        <w:rPr>
          <w:sz w:val="22"/>
          <w:szCs w:val="22"/>
        </w:rPr>
        <w:t>The s</w:t>
      </w:r>
      <w:r w:rsidR="003563EA" w:rsidRPr="008F4D5A">
        <w:rPr>
          <w:sz w:val="22"/>
          <w:szCs w:val="22"/>
        </w:rPr>
        <w:t xml:space="preserve">hipping procedure </w:t>
      </w:r>
      <w:r w:rsidR="007B5ECD" w:rsidRPr="008F4D5A">
        <w:rPr>
          <w:sz w:val="22"/>
          <w:szCs w:val="22"/>
        </w:rPr>
        <w:t xml:space="preserve">for </w:t>
      </w:r>
      <w:r w:rsidR="003563EA" w:rsidRPr="008F4D5A">
        <w:rPr>
          <w:sz w:val="22"/>
          <w:szCs w:val="22"/>
        </w:rPr>
        <w:t>send</w:t>
      </w:r>
      <w:r w:rsidR="007B5ECD" w:rsidRPr="008F4D5A">
        <w:rPr>
          <w:sz w:val="22"/>
          <w:szCs w:val="22"/>
        </w:rPr>
        <w:t>ing</w:t>
      </w:r>
      <w:r w:rsidR="003563EA" w:rsidRPr="008F4D5A">
        <w:rPr>
          <w:sz w:val="22"/>
          <w:szCs w:val="22"/>
        </w:rPr>
        <w:t xml:space="preserve"> samples will be communicated at a later stage of the process.</w:t>
      </w:r>
    </w:p>
    <w:p w:rsidR="00584512" w:rsidRPr="008F4D5A" w:rsidRDefault="00584512" w:rsidP="00F17A0C">
      <w:pPr>
        <w:jc w:val="both"/>
        <w:rPr>
          <w:sz w:val="22"/>
          <w:szCs w:val="22"/>
        </w:rPr>
      </w:pPr>
    </w:p>
    <w:p w:rsidR="003D307D" w:rsidRPr="003D307D" w:rsidRDefault="003D307D" w:rsidP="00E650E1">
      <w:pPr>
        <w:jc w:val="both"/>
        <w:rPr>
          <w:sz w:val="22"/>
          <w:szCs w:val="22"/>
        </w:rPr>
      </w:pPr>
      <w:r w:rsidRPr="003D307D">
        <w:rPr>
          <w:sz w:val="22"/>
          <w:szCs w:val="22"/>
        </w:rPr>
        <w:t>Subject:</w:t>
      </w:r>
      <w:r w:rsidR="00584512" w:rsidRPr="00584512">
        <w:rPr>
          <w:sz w:val="22"/>
          <w:szCs w:val="22"/>
        </w:rPr>
        <w:t xml:space="preserve"> </w:t>
      </w:r>
      <w:r w:rsidR="00584512" w:rsidRPr="00F17A0C">
        <w:rPr>
          <w:sz w:val="22"/>
          <w:szCs w:val="22"/>
        </w:rPr>
        <w:t xml:space="preserve">Expression of Interest - </w:t>
      </w:r>
      <w:r w:rsidR="00584512">
        <w:rPr>
          <w:sz w:val="22"/>
          <w:szCs w:val="22"/>
        </w:rPr>
        <w:t xml:space="preserve">Supplies of TB laboratory </w:t>
      </w:r>
      <w:r w:rsidR="0009281B">
        <w:rPr>
          <w:sz w:val="22"/>
          <w:szCs w:val="22"/>
        </w:rPr>
        <w:t>instrument</w:t>
      </w:r>
      <w:r w:rsidR="001052CA">
        <w:rPr>
          <w:sz w:val="22"/>
          <w:szCs w:val="22"/>
        </w:rPr>
        <w:t>s</w:t>
      </w:r>
      <w:r w:rsidR="00584512">
        <w:rPr>
          <w:sz w:val="22"/>
          <w:szCs w:val="22"/>
        </w:rPr>
        <w:t xml:space="preserve">, </w:t>
      </w:r>
      <w:r w:rsidR="00C46D68">
        <w:rPr>
          <w:sz w:val="22"/>
          <w:szCs w:val="22"/>
        </w:rPr>
        <w:t xml:space="preserve">tools, </w:t>
      </w:r>
      <w:r w:rsidR="00584512">
        <w:rPr>
          <w:sz w:val="22"/>
          <w:szCs w:val="22"/>
        </w:rPr>
        <w:t>chemicals</w:t>
      </w:r>
      <w:r w:rsidR="00584512" w:rsidRPr="00F17A0C">
        <w:rPr>
          <w:sz w:val="22"/>
          <w:szCs w:val="22"/>
        </w:rPr>
        <w:t xml:space="preserve"> and consumables</w:t>
      </w:r>
    </w:p>
    <w:p w:rsidR="003D307D" w:rsidRPr="003D307D" w:rsidRDefault="003D307D" w:rsidP="001052CA">
      <w:pPr>
        <w:jc w:val="both"/>
        <w:rPr>
          <w:sz w:val="22"/>
          <w:szCs w:val="22"/>
        </w:rPr>
      </w:pPr>
      <w:r w:rsidRPr="003D307D">
        <w:rPr>
          <w:sz w:val="22"/>
          <w:szCs w:val="22"/>
        </w:rPr>
        <w:t>Attention: Mr. John Loeber</w:t>
      </w:r>
      <w:r w:rsidR="001052CA">
        <w:rPr>
          <w:sz w:val="22"/>
          <w:szCs w:val="22"/>
        </w:rPr>
        <w:t xml:space="preserve"> - </w:t>
      </w:r>
      <w:r w:rsidRPr="003D307D">
        <w:rPr>
          <w:sz w:val="22"/>
          <w:szCs w:val="22"/>
        </w:rPr>
        <w:t>Procurement Coordinator, Global Drug Facility</w:t>
      </w:r>
    </w:p>
    <w:p w:rsidR="003D307D" w:rsidRPr="003D307D" w:rsidRDefault="003D307D" w:rsidP="003D307D">
      <w:pPr>
        <w:jc w:val="both"/>
        <w:rPr>
          <w:sz w:val="22"/>
          <w:szCs w:val="22"/>
        </w:rPr>
      </w:pPr>
      <w:r w:rsidRPr="003D307D">
        <w:rPr>
          <w:sz w:val="22"/>
          <w:szCs w:val="22"/>
        </w:rPr>
        <w:t>Stop TB Department</w:t>
      </w:r>
    </w:p>
    <w:p w:rsidR="003D307D" w:rsidRPr="003D307D" w:rsidRDefault="003D307D" w:rsidP="003D307D">
      <w:pPr>
        <w:jc w:val="both"/>
        <w:rPr>
          <w:sz w:val="22"/>
          <w:szCs w:val="22"/>
        </w:rPr>
      </w:pPr>
      <w:r w:rsidRPr="003D307D">
        <w:rPr>
          <w:sz w:val="22"/>
          <w:szCs w:val="22"/>
        </w:rPr>
        <w:t>World Health Organization</w:t>
      </w:r>
      <w:bookmarkStart w:id="0" w:name="_GoBack"/>
      <w:bookmarkEnd w:id="0"/>
    </w:p>
    <w:p w:rsidR="003D307D" w:rsidRPr="003D307D" w:rsidRDefault="003D307D" w:rsidP="003D307D">
      <w:pPr>
        <w:jc w:val="both"/>
        <w:rPr>
          <w:sz w:val="22"/>
          <w:szCs w:val="22"/>
        </w:rPr>
      </w:pPr>
      <w:r w:rsidRPr="003D307D">
        <w:rPr>
          <w:sz w:val="22"/>
          <w:szCs w:val="22"/>
        </w:rPr>
        <w:t xml:space="preserve">20Avenue </w:t>
      </w:r>
      <w:proofErr w:type="spellStart"/>
      <w:r w:rsidRPr="003D307D">
        <w:rPr>
          <w:sz w:val="22"/>
          <w:szCs w:val="22"/>
        </w:rPr>
        <w:t>Appia</w:t>
      </w:r>
      <w:proofErr w:type="spellEnd"/>
    </w:p>
    <w:p w:rsidR="003D307D" w:rsidRPr="003D307D" w:rsidRDefault="003D307D" w:rsidP="001052CA">
      <w:pPr>
        <w:jc w:val="both"/>
        <w:rPr>
          <w:sz w:val="22"/>
          <w:szCs w:val="22"/>
        </w:rPr>
      </w:pPr>
      <w:r w:rsidRPr="003D307D">
        <w:rPr>
          <w:sz w:val="22"/>
          <w:szCs w:val="22"/>
        </w:rPr>
        <w:t>1211 Geneva 27</w:t>
      </w:r>
      <w:r w:rsidR="001052CA">
        <w:rPr>
          <w:sz w:val="22"/>
          <w:szCs w:val="22"/>
        </w:rPr>
        <w:t xml:space="preserve"> - </w:t>
      </w:r>
      <w:r w:rsidRPr="003D307D">
        <w:rPr>
          <w:sz w:val="22"/>
          <w:szCs w:val="22"/>
        </w:rPr>
        <w:t>Switzerland</w:t>
      </w:r>
    </w:p>
    <w:p w:rsidR="003D307D" w:rsidRPr="003D307D" w:rsidRDefault="003D307D" w:rsidP="003D307D">
      <w:pPr>
        <w:jc w:val="both"/>
        <w:rPr>
          <w:sz w:val="22"/>
          <w:szCs w:val="22"/>
        </w:rPr>
      </w:pPr>
    </w:p>
    <w:p w:rsidR="002F55D7" w:rsidRDefault="002F55D7" w:rsidP="003D307D">
      <w:pPr>
        <w:jc w:val="both"/>
        <w:rPr>
          <w:sz w:val="22"/>
          <w:szCs w:val="22"/>
        </w:rPr>
      </w:pPr>
    </w:p>
    <w:p w:rsidR="002F55D7" w:rsidRDefault="002F55D7" w:rsidP="003D307D">
      <w:pPr>
        <w:jc w:val="both"/>
        <w:rPr>
          <w:sz w:val="22"/>
          <w:szCs w:val="22"/>
        </w:rPr>
      </w:pPr>
    </w:p>
    <w:p w:rsidR="003D307D" w:rsidRPr="003D307D" w:rsidRDefault="003D307D" w:rsidP="001052CA">
      <w:pPr>
        <w:jc w:val="both"/>
        <w:rPr>
          <w:sz w:val="22"/>
          <w:szCs w:val="22"/>
        </w:rPr>
      </w:pPr>
      <w:r w:rsidRPr="003D307D">
        <w:rPr>
          <w:sz w:val="22"/>
          <w:szCs w:val="22"/>
        </w:rPr>
        <w:t>Enquiries / correspondence are kindly also directed by email only:</w:t>
      </w:r>
    </w:p>
    <w:p w:rsidR="00FF5EB6" w:rsidRDefault="00FF5EB6" w:rsidP="003D307D">
      <w:pPr>
        <w:jc w:val="both"/>
        <w:rPr>
          <w:sz w:val="22"/>
          <w:szCs w:val="22"/>
        </w:rPr>
      </w:pPr>
      <w:proofErr w:type="gramStart"/>
      <w:r>
        <w:rPr>
          <w:sz w:val="22"/>
          <w:szCs w:val="22"/>
        </w:rPr>
        <w:t>To :</w:t>
      </w:r>
      <w:proofErr w:type="gramEnd"/>
      <w:r>
        <w:rPr>
          <w:sz w:val="22"/>
          <w:szCs w:val="22"/>
        </w:rPr>
        <w:t xml:space="preserve"> Mr Thomas </w:t>
      </w:r>
      <w:proofErr w:type="spellStart"/>
      <w:r>
        <w:rPr>
          <w:sz w:val="22"/>
          <w:szCs w:val="22"/>
        </w:rPr>
        <w:t>Vergès</w:t>
      </w:r>
      <w:proofErr w:type="spellEnd"/>
      <w:r>
        <w:rPr>
          <w:sz w:val="22"/>
          <w:szCs w:val="22"/>
        </w:rPr>
        <w:t xml:space="preserve">, </w:t>
      </w:r>
      <w:r w:rsidRPr="003D307D">
        <w:rPr>
          <w:sz w:val="22"/>
          <w:szCs w:val="22"/>
        </w:rPr>
        <w:t>Global Drug Facility, email:</w:t>
      </w:r>
      <w:r>
        <w:rPr>
          <w:sz w:val="22"/>
          <w:szCs w:val="22"/>
        </w:rPr>
        <w:t xml:space="preserve"> </w:t>
      </w:r>
      <w:hyperlink r:id="rId15" w:history="1">
        <w:r w:rsidRPr="0077526A">
          <w:rPr>
            <w:rStyle w:val="Hyperlink"/>
            <w:sz w:val="22"/>
            <w:szCs w:val="22"/>
          </w:rPr>
          <w:t>vergest@who.int</w:t>
        </w:r>
      </w:hyperlink>
      <w:r>
        <w:rPr>
          <w:sz w:val="22"/>
          <w:szCs w:val="22"/>
        </w:rPr>
        <w:t xml:space="preserve"> </w:t>
      </w:r>
    </w:p>
    <w:p w:rsidR="003D307D" w:rsidRDefault="00FF5EB6" w:rsidP="003D307D">
      <w:pPr>
        <w:jc w:val="both"/>
        <w:rPr>
          <w:rStyle w:val="Hyperlink"/>
          <w:sz w:val="22"/>
          <w:szCs w:val="22"/>
        </w:rPr>
      </w:pPr>
      <w:proofErr w:type="gramStart"/>
      <w:r>
        <w:rPr>
          <w:sz w:val="22"/>
          <w:szCs w:val="22"/>
        </w:rPr>
        <w:t>Cc :</w:t>
      </w:r>
      <w:proofErr w:type="gramEnd"/>
      <w:r>
        <w:rPr>
          <w:sz w:val="22"/>
          <w:szCs w:val="22"/>
        </w:rPr>
        <w:t xml:space="preserve"> </w:t>
      </w:r>
      <w:proofErr w:type="spellStart"/>
      <w:r w:rsidR="003D307D" w:rsidRPr="003D307D">
        <w:rPr>
          <w:sz w:val="22"/>
          <w:szCs w:val="22"/>
        </w:rPr>
        <w:t>Mr.</w:t>
      </w:r>
      <w:proofErr w:type="spellEnd"/>
      <w:r w:rsidR="003D307D" w:rsidRPr="003D307D">
        <w:rPr>
          <w:sz w:val="22"/>
          <w:szCs w:val="22"/>
        </w:rPr>
        <w:t xml:space="preserve"> John Loeber, Global Drug Facility, email: </w:t>
      </w:r>
      <w:hyperlink r:id="rId16" w:history="1">
        <w:r w:rsidR="003D307D" w:rsidRPr="003D307D">
          <w:rPr>
            <w:rStyle w:val="Hyperlink"/>
            <w:sz w:val="22"/>
            <w:szCs w:val="22"/>
          </w:rPr>
          <w:t>loeberj@who.int</w:t>
        </w:r>
      </w:hyperlink>
    </w:p>
    <w:p w:rsidR="00B93843" w:rsidRPr="00B93843" w:rsidRDefault="00B93843" w:rsidP="00B93843">
      <w:pPr>
        <w:jc w:val="both"/>
        <w:rPr>
          <w:sz w:val="22"/>
          <w:szCs w:val="22"/>
        </w:rPr>
      </w:pPr>
      <w:r w:rsidRPr="00B93843">
        <w:rPr>
          <w:sz w:val="22"/>
          <w:szCs w:val="22"/>
        </w:rPr>
        <w:t xml:space="preserve">Subject of email should </w:t>
      </w:r>
      <w:proofErr w:type="gramStart"/>
      <w:r>
        <w:rPr>
          <w:sz w:val="22"/>
          <w:szCs w:val="22"/>
        </w:rPr>
        <w:t>mention :</w:t>
      </w:r>
      <w:proofErr w:type="gramEnd"/>
      <w:r>
        <w:rPr>
          <w:sz w:val="22"/>
          <w:szCs w:val="22"/>
        </w:rPr>
        <w:t xml:space="preserve"> EOI-GDF</w:t>
      </w:r>
      <w:r w:rsidRPr="00B93843">
        <w:rPr>
          <w:sz w:val="22"/>
          <w:szCs w:val="22"/>
        </w:rPr>
        <w:t xml:space="preserve"> </w:t>
      </w:r>
      <w:r>
        <w:rPr>
          <w:sz w:val="22"/>
          <w:szCs w:val="22"/>
        </w:rPr>
        <w:t>Diagnostics</w:t>
      </w:r>
    </w:p>
    <w:p w:rsidR="003D307D" w:rsidRPr="003D307D" w:rsidRDefault="003D307D" w:rsidP="003D307D">
      <w:pPr>
        <w:jc w:val="both"/>
        <w:rPr>
          <w:sz w:val="22"/>
          <w:szCs w:val="22"/>
        </w:rPr>
      </w:pPr>
    </w:p>
    <w:p w:rsidR="003D307D" w:rsidRPr="001C3FE7" w:rsidRDefault="00D54159" w:rsidP="003D307D">
      <w:pPr>
        <w:jc w:val="both"/>
        <w:rPr>
          <w:sz w:val="22"/>
          <w:szCs w:val="22"/>
        </w:rPr>
      </w:pPr>
      <w:r>
        <w:rPr>
          <w:noProof/>
          <w:sz w:val="22"/>
          <w:szCs w:val="22"/>
          <w:lang w:val="en-US" w:eastAsia="zh-CN"/>
        </w:rPr>
        <w:drawing>
          <wp:inline distT="0" distB="0" distL="0" distR="0" wp14:anchorId="4B04721E" wp14:editId="049AD3FA">
            <wp:extent cx="563245" cy="201930"/>
            <wp:effectExtent l="1905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563245" cy="201930"/>
                    </a:xfrm>
                    <a:prstGeom prst="rect">
                      <a:avLst/>
                    </a:prstGeom>
                    <a:noFill/>
                    <a:ln w="9525">
                      <a:noFill/>
                      <a:miter lim="800000"/>
                      <a:headEnd/>
                      <a:tailEnd/>
                    </a:ln>
                  </pic:spPr>
                </pic:pic>
              </a:graphicData>
            </a:graphic>
          </wp:inline>
        </w:drawing>
      </w:r>
    </w:p>
    <w:p w:rsidR="003D307D" w:rsidRPr="001C3FE7" w:rsidRDefault="003D307D" w:rsidP="003D307D">
      <w:pPr>
        <w:jc w:val="both"/>
        <w:rPr>
          <w:sz w:val="22"/>
          <w:szCs w:val="22"/>
        </w:rPr>
      </w:pPr>
      <w:r w:rsidRPr="001C3FE7">
        <w:rPr>
          <w:sz w:val="22"/>
          <w:szCs w:val="22"/>
        </w:rPr>
        <w:t>Global TB Drug Facility /</w:t>
      </w:r>
      <w:r>
        <w:rPr>
          <w:sz w:val="22"/>
          <w:szCs w:val="22"/>
        </w:rPr>
        <w:t xml:space="preserve"> </w:t>
      </w:r>
      <w:r w:rsidRPr="001C3FE7">
        <w:rPr>
          <w:sz w:val="22"/>
          <w:szCs w:val="22"/>
        </w:rPr>
        <w:t xml:space="preserve">Stop TB Partnership </w:t>
      </w:r>
    </w:p>
    <w:p w:rsidR="003D307D" w:rsidRPr="001C3FE7" w:rsidRDefault="00D54159" w:rsidP="003D307D">
      <w:pPr>
        <w:jc w:val="both"/>
        <w:rPr>
          <w:sz w:val="22"/>
          <w:szCs w:val="22"/>
        </w:rPr>
      </w:pPr>
      <w:r>
        <w:rPr>
          <w:noProof/>
          <w:sz w:val="22"/>
          <w:szCs w:val="22"/>
          <w:lang w:val="en-US" w:eastAsia="zh-CN"/>
        </w:rPr>
        <w:drawing>
          <wp:inline distT="0" distB="0" distL="0" distR="0" wp14:anchorId="42C2C096" wp14:editId="44631F1F">
            <wp:extent cx="861060" cy="18097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a:stretch>
                      <a:fillRect/>
                    </a:stretch>
                  </pic:blipFill>
                  <pic:spPr bwMode="auto">
                    <a:xfrm>
                      <a:off x="0" y="0"/>
                      <a:ext cx="861060" cy="180975"/>
                    </a:xfrm>
                    <a:prstGeom prst="rect">
                      <a:avLst/>
                    </a:prstGeom>
                    <a:noFill/>
                    <a:ln w="9525">
                      <a:noFill/>
                      <a:miter lim="800000"/>
                      <a:headEnd/>
                      <a:tailEnd/>
                    </a:ln>
                  </pic:spPr>
                </pic:pic>
              </a:graphicData>
            </a:graphic>
          </wp:inline>
        </w:drawing>
      </w:r>
    </w:p>
    <w:p w:rsidR="003D307D" w:rsidRDefault="003D307D" w:rsidP="003D307D">
      <w:pPr>
        <w:jc w:val="both"/>
        <w:rPr>
          <w:sz w:val="22"/>
          <w:szCs w:val="22"/>
        </w:rPr>
      </w:pPr>
      <w:proofErr w:type="gramStart"/>
      <w:r w:rsidRPr="001C3FE7">
        <w:rPr>
          <w:sz w:val="22"/>
          <w:szCs w:val="22"/>
        </w:rPr>
        <w:t>c/o</w:t>
      </w:r>
      <w:proofErr w:type="gramEnd"/>
      <w:r w:rsidRPr="001C3FE7">
        <w:rPr>
          <w:sz w:val="22"/>
          <w:szCs w:val="22"/>
        </w:rPr>
        <w:t xml:space="preserve"> World Health Organization, 20 avenue </w:t>
      </w:r>
      <w:proofErr w:type="spellStart"/>
      <w:r w:rsidRPr="001C3FE7">
        <w:rPr>
          <w:sz w:val="22"/>
          <w:szCs w:val="22"/>
        </w:rPr>
        <w:t>Appia</w:t>
      </w:r>
      <w:proofErr w:type="spellEnd"/>
      <w:r w:rsidRPr="001C3FE7">
        <w:rPr>
          <w:sz w:val="22"/>
          <w:szCs w:val="22"/>
        </w:rPr>
        <w:t xml:space="preserve">, CH-1211 Geneva 27, </w:t>
      </w:r>
      <w:smartTag w:uri="urn:schemas-microsoft-com:office:smarttags" w:element="place">
        <w:smartTag w:uri="urn:schemas-microsoft-com:office:smarttags" w:element="country-region">
          <w:r w:rsidRPr="001C3FE7">
            <w:rPr>
              <w:sz w:val="22"/>
              <w:szCs w:val="22"/>
            </w:rPr>
            <w:t>Switzerland</w:t>
          </w:r>
        </w:smartTag>
      </w:smartTag>
    </w:p>
    <w:p w:rsidR="003D307D" w:rsidRDefault="003D307D" w:rsidP="003D307D">
      <w:pPr>
        <w:jc w:val="both"/>
        <w:rPr>
          <w:sz w:val="22"/>
          <w:szCs w:val="22"/>
        </w:rPr>
      </w:pPr>
      <w:r w:rsidRPr="001C3FE7">
        <w:rPr>
          <w:sz w:val="22"/>
          <w:szCs w:val="22"/>
        </w:rPr>
        <w:t>Fax: + 41-22-791 4486 or + 41-22-791 4886</w:t>
      </w:r>
    </w:p>
    <w:p w:rsidR="003D307D" w:rsidRDefault="003D307D" w:rsidP="003D307D">
      <w:pPr>
        <w:jc w:val="both"/>
        <w:rPr>
          <w:sz w:val="22"/>
          <w:szCs w:val="22"/>
        </w:rPr>
      </w:pPr>
      <w:r w:rsidRPr="001C3FE7">
        <w:rPr>
          <w:sz w:val="22"/>
          <w:szCs w:val="22"/>
        </w:rPr>
        <w:t xml:space="preserve">Email: </w:t>
      </w:r>
      <w:hyperlink r:id="rId19" w:history="1">
        <w:r w:rsidRPr="00BC2A82">
          <w:rPr>
            <w:rStyle w:val="Hyperlink"/>
            <w:sz w:val="22"/>
            <w:szCs w:val="22"/>
          </w:rPr>
          <w:t>gdf@stoptb.org</w:t>
        </w:r>
      </w:hyperlink>
      <w:r>
        <w:rPr>
          <w:sz w:val="22"/>
          <w:szCs w:val="22"/>
        </w:rPr>
        <w:t xml:space="preserve">, </w:t>
      </w:r>
      <w:r w:rsidRPr="001C3FE7">
        <w:rPr>
          <w:sz w:val="22"/>
          <w:szCs w:val="22"/>
        </w:rPr>
        <w:t xml:space="preserve">Website: </w:t>
      </w:r>
      <w:hyperlink r:id="rId20" w:history="1">
        <w:r w:rsidRPr="00E32C90">
          <w:rPr>
            <w:rStyle w:val="Hyperlink"/>
            <w:sz w:val="22"/>
            <w:szCs w:val="22"/>
          </w:rPr>
          <w:t>www.stoptb.org/gdf</w:t>
        </w:r>
      </w:hyperlink>
    </w:p>
    <w:p w:rsidR="003D307D" w:rsidRPr="001C3FE7" w:rsidRDefault="003D307D" w:rsidP="003D307D">
      <w:pPr>
        <w:jc w:val="both"/>
        <w:rPr>
          <w:sz w:val="22"/>
          <w:szCs w:val="22"/>
        </w:rPr>
      </w:pPr>
    </w:p>
    <w:p w:rsidR="003D307D" w:rsidRPr="001C3FE7" w:rsidRDefault="003D307D" w:rsidP="003D307D">
      <w:pPr>
        <w:jc w:val="both"/>
        <w:rPr>
          <w:sz w:val="22"/>
          <w:szCs w:val="22"/>
        </w:rPr>
      </w:pPr>
      <w:r w:rsidRPr="001C3FE7">
        <w:rPr>
          <w:sz w:val="22"/>
          <w:szCs w:val="22"/>
        </w:rPr>
        <w:t xml:space="preserve">The Stop TB Partnership Secretariat is housed by the World Health Organization </w:t>
      </w:r>
    </w:p>
    <w:p w:rsidR="004B03D6" w:rsidRDefault="004B03D6">
      <w:pPr>
        <w:rPr>
          <w:b/>
          <w:bCs/>
          <w:sz w:val="28"/>
          <w:szCs w:val="28"/>
        </w:rPr>
      </w:pPr>
    </w:p>
    <w:p w:rsidR="004B03D6" w:rsidRPr="004B03D6" w:rsidRDefault="004B03D6" w:rsidP="004B03D6">
      <w:pPr>
        <w:jc w:val="center"/>
        <w:rPr>
          <w:b/>
          <w:bCs/>
          <w:sz w:val="28"/>
          <w:szCs w:val="28"/>
          <w:lang w:val="en-US"/>
        </w:rPr>
      </w:pPr>
      <w:r>
        <w:rPr>
          <w:b/>
          <w:bCs/>
          <w:sz w:val="28"/>
          <w:szCs w:val="28"/>
        </w:rPr>
        <w:t>Document</w:t>
      </w:r>
      <w:r w:rsidR="00EE6DB4">
        <w:rPr>
          <w:b/>
          <w:bCs/>
          <w:sz w:val="28"/>
          <w:szCs w:val="28"/>
        </w:rPr>
        <w:t>s</w:t>
      </w:r>
      <w:r>
        <w:rPr>
          <w:b/>
          <w:bCs/>
          <w:sz w:val="28"/>
          <w:szCs w:val="28"/>
        </w:rPr>
        <w:t xml:space="preserve"> attached to this EOI</w:t>
      </w:r>
    </w:p>
    <w:p w:rsidR="004B03D6" w:rsidRDefault="004B03D6">
      <w:pPr>
        <w:rPr>
          <w:b/>
          <w:bCs/>
          <w:sz w:val="28"/>
          <w:szCs w:val="28"/>
        </w:rPr>
      </w:pPr>
    </w:p>
    <w:p w:rsidR="004B03D6" w:rsidRPr="004B03D6" w:rsidRDefault="004B03D6" w:rsidP="00765BB7">
      <w:pPr>
        <w:jc w:val="both"/>
        <w:rPr>
          <w:sz w:val="22"/>
          <w:szCs w:val="22"/>
        </w:rPr>
      </w:pPr>
      <w:r w:rsidRPr="004B03D6">
        <w:rPr>
          <w:sz w:val="22"/>
          <w:szCs w:val="22"/>
        </w:rPr>
        <w:t xml:space="preserve">Annex 1 - GDF Company Questionnaire </w:t>
      </w:r>
    </w:p>
    <w:p w:rsidR="004B03D6" w:rsidRPr="004B03D6" w:rsidRDefault="004B03D6" w:rsidP="00765BB7">
      <w:pPr>
        <w:jc w:val="both"/>
        <w:rPr>
          <w:sz w:val="22"/>
          <w:szCs w:val="22"/>
        </w:rPr>
      </w:pPr>
      <w:r>
        <w:rPr>
          <w:sz w:val="22"/>
          <w:szCs w:val="22"/>
        </w:rPr>
        <w:t xml:space="preserve">Annex 2- Laboratory List </w:t>
      </w:r>
      <w:r w:rsidRPr="004B03D6">
        <w:rPr>
          <w:sz w:val="22"/>
          <w:szCs w:val="22"/>
        </w:rPr>
        <w:t>for EOI - March 2013</w:t>
      </w:r>
    </w:p>
    <w:p w:rsidR="004B03D6" w:rsidRDefault="004F2A43" w:rsidP="00765BB7">
      <w:pPr>
        <w:jc w:val="both"/>
        <w:rPr>
          <w:sz w:val="22"/>
          <w:szCs w:val="22"/>
        </w:rPr>
      </w:pPr>
      <w:r w:rsidRPr="004F2A43">
        <w:rPr>
          <w:sz w:val="22"/>
          <w:szCs w:val="22"/>
        </w:rPr>
        <w:t>Annex 3 - Financial Information</w:t>
      </w:r>
    </w:p>
    <w:p w:rsidR="004F2A43" w:rsidRDefault="004F2A43" w:rsidP="00765BB7">
      <w:pPr>
        <w:jc w:val="both"/>
        <w:rPr>
          <w:sz w:val="22"/>
          <w:szCs w:val="22"/>
        </w:rPr>
      </w:pPr>
      <w:r w:rsidRPr="004F2A43">
        <w:rPr>
          <w:sz w:val="22"/>
          <w:szCs w:val="22"/>
        </w:rPr>
        <w:t>An</w:t>
      </w:r>
      <w:r>
        <w:rPr>
          <w:sz w:val="22"/>
          <w:szCs w:val="22"/>
        </w:rPr>
        <w:t xml:space="preserve">nex 4 - Detailed Product List </w:t>
      </w:r>
      <w:r w:rsidRPr="004F2A43">
        <w:rPr>
          <w:sz w:val="22"/>
          <w:szCs w:val="22"/>
        </w:rPr>
        <w:t>for EOI - March 2013</w:t>
      </w:r>
    </w:p>
    <w:p w:rsidR="000A547D" w:rsidRDefault="000A547D" w:rsidP="00765BB7">
      <w:pPr>
        <w:jc w:val="both"/>
        <w:rPr>
          <w:sz w:val="22"/>
          <w:szCs w:val="22"/>
        </w:rPr>
      </w:pPr>
      <w:r w:rsidRPr="000A547D">
        <w:rPr>
          <w:sz w:val="22"/>
          <w:szCs w:val="22"/>
        </w:rPr>
        <w:t>Annex 5 - Detailed Specification</w:t>
      </w:r>
      <w:r w:rsidR="007076AE">
        <w:rPr>
          <w:sz w:val="22"/>
          <w:szCs w:val="22"/>
        </w:rPr>
        <w:t>s</w:t>
      </w:r>
      <w:r w:rsidRPr="000A547D">
        <w:rPr>
          <w:sz w:val="22"/>
          <w:szCs w:val="22"/>
        </w:rPr>
        <w:t xml:space="preserve"> for EOI - March 2013</w:t>
      </w:r>
    </w:p>
    <w:p w:rsidR="00772D49" w:rsidRDefault="0022289F" w:rsidP="007076AE">
      <w:pPr>
        <w:jc w:val="both"/>
        <w:rPr>
          <w:sz w:val="22"/>
          <w:szCs w:val="22"/>
        </w:rPr>
      </w:pPr>
      <w:r w:rsidRPr="0022289F">
        <w:rPr>
          <w:sz w:val="22"/>
          <w:szCs w:val="22"/>
        </w:rPr>
        <w:t>Annex 6-1</w:t>
      </w:r>
      <w:r w:rsidR="007076AE">
        <w:rPr>
          <w:sz w:val="22"/>
          <w:szCs w:val="22"/>
        </w:rPr>
        <w:t xml:space="preserve"> </w:t>
      </w:r>
      <w:proofErr w:type="gramStart"/>
      <w:r w:rsidR="007076AE">
        <w:rPr>
          <w:sz w:val="22"/>
          <w:szCs w:val="22"/>
        </w:rPr>
        <w:t>to  6</w:t>
      </w:r>
      <w:proofErr w:type="gramEnd"/>
      <w:r w:rsidR="007076AE">
        <w:rPr>
          <w:sz w:val="22"/>
          <w:szCs w:val="22"/>
        </w:rPr>
        <w:t>-5</w:t>
      </w:r>
      <w:r w:rsidR="00390368">
        <w:rPr>
          <w:sz w:val="22"/>
          <w:szCs w:val="22"/>
        </w:rPr>
        <w:t xml:space="preserve"> - Supplier </w:t>
      </w:r>
      <w:r w:rsidRPr="0022289F">
        <w:rPr>
          <w:sz w:val="22"/>
          <w:szCs w:val="22"/>
        </w:rPr>
        <w:t>Specification</w:t>
      </w:r>
      <w:r w:rsidR="007076AE">
        <w:rPr>
          <w:sz w:val="22"/>
          <w:szCs w:val="22"/>
        </w:rPr>
        <w:t>s</w:t>
      </w:r>
      <w:r w:rsidRPr="0022289F">
        <w:rPr>
          <w:sz w:val="22"/>
          <w:szCs w:val="22"/>
        </w:rPr>
        <w:t xml:space="preserve"> Lot 1</w:t>
      </w:r>
      <w:r>
        <w:rPr>
          <w:sz w:val="22"/>
          <w:szCs w:val="22"/>
        </w:rPr>
        <w:t xml:space="preserve"> to 5</w:t>
      </w:r>
    </w:p>
    <w:p w:rsidR="00772D49" w:rsidRDefault="00772D49" w:rsidP="00E33142">
      <w:pPr>
        <w:jc w:val="both"/>
        <w:rPr>
          <w:sz w:val="22"/>
          <w:szCs w:val="22"/>
        </w:rPr>
      </w:pPr>
    </w:p>
    <w:p w:rsidR="00772D49" w:rsidRDefault="00772D49" w:rsidP="00E33142">
      <w:pPr>
        <w:jc w:val="both"/>
        <w:rPr>
          <w:sz w:val="22"/>
          <w:szCs w:val="22"/>
        </w:rPr>
      </w:pPr>
    </w:p>
    <w:sectPr w:rsidR="00772D49" w:rsidSect="00836986">
      <w:headerReference w:type="even" r:id="rId21"/>
      <w:headerReference w:type="default" r:id="rId22"/>
      <w:footerReference w:type="default" r:id="rId23"/>
      <w:pgSz w:w="11906" w:h="16838"/>
      <w:pgMar w:top="1103"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46BE" w:rsidRDefault="00CF46BE">
      <w:r>
        <w:separator/>
      </w:r>
    </w:p>
  </w:endnote>
  <w:endnote w:type="continuationSeparator" w:id="0">
    <w:p w:rsidR="00CF46BE" w:rsidRDefault="00CF4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85368717"/>
      <w:docPartObj>
        <w:docPartGallery w:val="Page Numbers (Bottom of Page)"/>
        <w:docPartUnique/>
      </w:docPartObj>
    </w:sdtPr>
    <w:sdtEndPr/>
    <w:sdtContent>
      <w:sdt>
        <w:sdtPr>
          <w:rPr>
            <w:sz w:val="20"/>
            <w:szCs w:val="20"/>
          </w:rPr>
          <w:id w:val="-1669238322"/>
          <w:docPartObj>
            <w:docPartGallery w:val="Page Numbers (Top of Page)"/>
            <w:docPartUnique/>
          </w:docPartObj>
        </w:sdtPr>
        <w:sdtEndPr/>
        <w:sdtContent>
          <w:p w:rsidR="002F55D7" w:rsidRPr="002F55D7" w:rsidRDefault="002F55D7" w:rsidP="002F55D7">
            <w:pPr>
              <w:pStyle w:val="Footer"/>
              <w:pBdr>
                <w:top w:val="single" w:sz="4" w:space="1" w:color="auto"/>
              </w:pBdr>
              <w:jc w:val="center"/>
              <w:rPr>
                <w:sz w:val="20"/>
                <w:szCs w:val="20"/>
              </w:rPr>
            </w:pPr>
            <w:r w:rsidRPr="002F55D7">
              <w:rPr>
                <w:sz w:val="20"/>
                <w:szCs w:val="20"/>
              </w:rPr>
              <w:t xml:space="preserve">Page </w:t>
            </w:r>
            <w:r w:rsidRPr="002F55D7">
              <w:rPr>
                <w:b/>
                <w:bCs/>
                <w:sz w:val="20"/>
                <w:szCs w:val="20"/>
              </w:rPr>
              <w:fldChar w:fldCharType="begin"/>
            </w:r>
            <w:r w:rsidRPr="002F55D7">
              <w:rPr>
                <w:b/>
                <w:bCs/>
                <w:sz w:val="20"/>
                <w:szCs w:val="20"/>
              </w:rPr>
              <w:instrText xml:space="preserve"> PAGE </w:instrText>
            </w:r>
            <w:r w:rsidRPr="002F55D7">
              <w:rPr>
                <w:b/>
                <w:bCs/>
                <w:sz w:val="20"/>
                <w:szCs w:val="20"/>
              </w:rPr>
              <w:fldChar w:fldCharType="separate"/>
            </w:r>
            <w:r w:rsidR="008F4D5A">
              <w:rPr>
                <w:b/>
                <w:bCs/>
                <w:noProof/>
                <w:sz w:val="20"/>
                <w:szCs w:val="20"/>
              </w:rPr>
              <w:t>2</w:t>
            </w:r>
            <w:r w:rsidRPr="002F55D7">
              <w:rPr>
                <w:b/>
                <w:bCs/>
                <w:sz w:val="20"/>
                <w:szCs w:val="20"/>
              </w:rPr>
              <w:fldChar w:fldCharType="end"/>
            </w:r>
            <w:r w:rsidRPr="002F55D7">
              <w:rPr>
                <w:sz w:val="20"/>
                <w:szCs w:val="20"/>
              </w:rPr>
              <w:t xml:space="preserve"> of </w:t>
            </w:r>
            <w:r w:rsidRPr="002F55D7">
              <w:rPr>
                <w:b/>
                <w:bCs/>
                <w:sz w:val="20"/>
                <w:szCs w:val="20"/>
              </w:rPr>
              <w:fldChar w:fldCharType="begin"/>
            </w:r>
            <w:r w:rsidRPr="002F55D7">
              <w:rPr>
                <w:b/>
                <w:bCs/>
                <w:sz w:val="20"/>
                <w:szCs w:val="20"/>
              </w:rPr>
              <w:instrText xml:space="preserve"> NUMPAGES  </w:instrText>
            </w:r>
            <w:r w:rsidRPr="002F55D7">
              <w:rPr>
                <w:b/>
                <w:bCs/>
                <w:sz w:val="20"/>
                <w:szCs w:val="20"/>
              </w:rPr>
              <w:fldChar w:fldCharType="separate"/>
            </w:r>
            <w:r w:rsidR="008F4D5A">
              <w:rPr>
                <w:b/>
                <w:bCs/>
                <w:noProof/>
                <w:sz w:val="20"/>
                <w:szCs w:val="20"/>
              </w:rPr>
              <w:t>4</w:t>
            </w:r>
            <w:r w:rsidRPr="002F55D7">
              <w:rPr>
                <w:b/>
                <w:bCs/>
                <w:sz w:val="20"/>
                <w:szCs w:val="20"/>
              </w:rPr>
              <w:fldChar w:fldCharType="end"/>
            </w:r>
          </w:p>
        </w:sdtContent>
      </w:sdt>
    </w:sdtContent>
  </w:sdt>
  <w:p w:rsidR="002F55D7" w:rsidRDefault="002F55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46BE" w:rsidRDefault="00CF46BE">
      <w:r>
        <w:separator/>
      </w:r>
    </w:p>
  </w:footnote>
  <w:footnote w:type="continuationSeparator" w:id="0">
    <w:p w:rsidR="00CF46BE" w:rsidRDefault="00CF46BE">
      <w:r>
        <w:continuationSeparator/>
      </w:r>
    </w:p>
  </w:footnote>
  <w:footnote w:id="1">
    <w:p w:rsidR="004F2A43" w:rsidRPr="004F2A43" w:rsidRDefault="004F2A43" w:rsidP="00DF7FB8">
      <w:pPr>
        <w:pStyle w:val="FootnoteText"/>
        <w:rPr>
          <w:lang w:val="en-US"/>
        </w:rPr>
      </w:pPr>
      <w:r>
        <w:rPr>
          <w:rStyle w:val="FootnoteReference"/>
        </w:rPr>
        <w:footnoteRef/>
      </w:r>
      <w:r>
        <w:t xml:space="preserve"> </w:t>
      </w:r>
      <w:r w:rsidRPr="004F2A43">
        <w:rPr>
          <w:sz w:val="18"/>
          <w:szCs w:val="18"/>
        </w:rPr>
        <w:t>For these items</w:t>
      </w:r>
      <w:r w:rsidR="00124D93">
        <w:rPr>
          <w:sz w:val="18"/>
          <w:szCs w:val="18"/>
        </w:rPr>
        <w:t xml:space="preserve"> </w:t>
      </w:r>
      <w:r w:rsidR="006B38E2">
        <w:rPr>
          <w:sz w:val="18"/>
          <w:szCs w:val="18"/>
        </w:rPr>
        <w:t>the</w:t>
      </w:r>
      <w:r w:rsidRPr="004F2A43">
        <w:rPr>
          <w:sz w:val="18"/>
          <w:szCs w:val="18"/>
        </w:rPr>
        <w:t xml:space="preserve"> exact brand and </w:t>
      </w:r>
      <w:r w:rsidRPr="00DF7FB8">
        <w:rPr>
          <w:sz w:val="18"/>
          <w:szCs w:val="18"/>
        </w:rPr>
        <w:t>model as mentioned in Annex 4</w:t>
      </w:r>
      <w:r w:rsidR="006B38E2" w:rsidRPr="00DF7FB8">
        <w:rPr>
          <w:sz w:val="18"/>
          <w:szCs w:val="18"/>
        </w:rPr>
        <w:t xml:space="preserve"> are needed</w:t>
      </w:r>
      <w:r w:rsidRPr="00DF7FB8">
        <w:rPr>
          <w:sz w:val="18"/>
          <w:szCs w:val="18"/>
        </w:rPr>
        <w:t xml:space="preserve">. </w:t>
      </w:r>
      <w:r w:rsidR="00DF7FB8" w:rsidRPr="00DF7FB8">
        <w:rPr>
          <w:sz w:val="18"/>
          <w:szCs w:val="18"/>
        </w:rPr>
        <w:t>T</w:t>
      </w:r>
      <w:r w:rsidRPr="00DF7FB8">
        <w:rPr>
          <w:sz w:val="18"/>
          <w:szCs w:val="18"/>
        </w:rPr>
        <w:t xml:space="preserve">rainers </w:t>
      </w:r>
      <w:r w:rsidR="00DF7FB8" w:rsidRPr="00DF7FB8">
        <w:rPr>
          <w:sz w:val="18"/>
          <w:szCs w:val="18"/>
        </w:rPr>
        <w:t xml:space="preserve">are </w:t>
      </w:r>
      <w:r w:rsidRPr="00DF7FB8">
        <w:rPr>
          <w:sz w:val="18"/>
          <w:szCs w:val="18"/>
        </w:rPr>
        <w:t xml:space="preserve">already </w:t>
      </w:r>
      <w:r w:rsidR="00DF7FB8" w:rsidRPr="00DF7FB8">
        <w:rPr>
          <w:sz w:val="18"/>
          <w:szCs w:val="18"/>
        </w:rPr>
        <w:t xml:space="preserve">aware how </w:t>
      </w:r>
      <w:r w:rsidRPr="00DF7FB8">
        <w:rPr>
          <w:sz w:val="18"/>
          <w:szCs w:val="18"/>
        </w:rPr>
        <w:t xml:space="preserve">to set up and train staff on </w:t>
      </w:r>
      <w:r w:rsidR="00DF7FB8" w:rsidRPr="00DF7FB8">
        <w:rPr>
          <w:sz w:val="18"/>
          <w:szCs w:val="18"/>
        </w:rPr>
        <w:t xml:space="preserve">these </w:t>
      </w:r>
      <w:r w:rsidR="0009281B" w:rsidRPr="00DF7FB8">
        <w:rPr>
          <w:sz w:val="18"/>
          <w:szCs w:val="18"/>
        </w:rPr>
        <w:t>instrument</w:t>
      </w:r>
      <w:r w:rsidR="00DF7FB8" w:rsidRPr="00DF7FB8">
        <w:rPr>
          <w:sz w:val="18"/>
          <w:szCs w:val="18"/>
        </w:rPr>
        <w:t xml:space="preserve">s. </w:t>
      </w:r>
      <w:r w:rsidR="00DF7FB8">
        <w:rPr>
          <w:sz w:val="18"/>
          <w:szCs w:val="18"/>
        </w:rPr>
        <w:t>A majority of laboratories</w:t>
      </w:r>
      <w:r w:rsidRPr="00DF7FB8">
        <w:rPr>
          <w:sz w:val="18"/>
          <w:szCs w:val="18"/>
        </w:rPr>
        <w:t xml:space="preserve"> are equipped with these </w:t>
      </w:r>
      <w:r w:rsidR="00DF7FB8">
        <w:rPr>
          <w:sz w:val="18"/>
          <w:szCs w:val="18"/>
        </w:rPr>
        <w:t xml:space="preserve">brands and models </w:t>
      </w:r>
      <w:r w:rsidR="00DF7FB8" w:rsidRPr="00DF7FB8">
        <w:rPr>
          <w:sz w:val="18"/>
          <w:szCs w:val="18"/>
        </w:rPr>
        <w:t>and</w:t>
      </w:r>
      <w:r w:rsidR="00DF7FB8">
        <w:rPr>
          <w:sz w:val="18"/>
          <w:szCs w:val="18"/>
        </w:rPr>
        <w:t xml:space="preserve"> therefore</w:t>
      </w:r>
      <w:r w:rsidR="00DF7FB8" w:rsidRPr="00DF7FB8">
        <w:rPr>
          <w:sz w:val="18"/>
          <w:szCs w:val="18"/>
        </w:rPr>
        <w:t xml:space="preserve"> maintenance</w:t>
      </w:r>
      <w:r w:rsidRPr="00DF7FB8">
        <w:rPr>
          <w:sz w:val="18"/>
          <w:szCs w:val="18"/>
        </w:rPr>
        <w:t xml:space="preserve"> is possible from one source</w:t>
      </w:r>
      <w:r w:rsidR="00DF7FB8">
        <w:rPr>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4C3" w:rsidRDefault="00A774C3" w:rsidP="000C446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774C3" w:rsidRDefault="00A774C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4C3" w:rsidRDefault="00A774C3" w:rsidP="002F55D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52531"/>
    <w:multiLevelType w:val="multilevel"/>
    <w:tmpl w:val="D72AEDF2"/>
    <w:lvl w:ilvl="0">
      <w:start w:val="7"/>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1">
    <w:nsid w:val="173F0059"/>
    <w:multiLevelType w:val="hybridMultilevel"/>
    <w:tmpl w:val="19CAC262"/>
    <w:lvl w:ilvl="0" w:tplc="FD7C1BDC">
      <w:start w:val="3"/>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8355B03"/>
    <w:multiLevelType w:val="hybridMultilevel"/>
    <w:tmpl w:val="A6161B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1D6501"/>
    <w:multiLevelType w:val="hybridMultilevel"/>
    <w:tmpl w:val="672EB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6764B4"/>
    <w:multiLevelType w:val="hybridMultilevel"/>
    <w:tmpl w:val="56383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6F59E6"/>
    <w:multiLevelType w:val="hybridMultilevel"/>
    <w:tmpl w:val="FDDEF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271253"/>
    <w:multiLevelType w:val="hybridMultilevel"/>
    <w:tmpl w:val="852664BC"/>
    <w:lvl w:ilvl="0" w:tplc="8EB08C28">
      <w:start w:val="1"/>
      <w:numFmt w:val="decimal"/>
      <w:lvlText w:val="(%1)"/>
      <w:lvlJc w:val="left"/>
      <w:pPr>
        <w:ind w:left="1080" w:hanging="360"/>
      </w:pPr>
      <w:rPr>
        <w:rFonts w:hint="default"/>
        <w:u w:val="singl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2BD8408B"/>
    <w:multiLevelType w:val="hybridMultilevel"/>
    <w:tmpl w:val="BED46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B6F05"/>
    <w:multiLevelType w:val="hybridMultilevel"/>
    <w:tmpl w:val="12C8C03C"/>
    <w:lvl w:ilvl="0" w:tplc="824ACA68">
      <w:start w:val="4"/>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371E4063"/>
    <w:multiLevelType w:val="hybridMultilevel"/>
    <w:tmpl w:val="F9605A88"/>
    <w:lvl w:ilvl="0" w:tplc="269EE70A">
      <w:start w:val="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8D9266E"/>
    <w:multiLevelType w:val="hybridMultilevel"/>
    <w:tmpl w:val="253CE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F97997"/>
    <w:multiLevelType w:val="hybridMultilevel"/>
    <w:tmpl w:val="D4FEB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8B29E9"/>
    <w:multiLevelType w:val="hybridMultilevel"/>
    <w:tmpl w:val="4AD07806"/>
    <w:lvl w:ilvl="0" w:tplc="760AE85A">
      <w:start w:val="6"/>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42AF6FC0"/>
    <w:multiLevelType w:val="multilevel"/>
    <w:tmpl w:val="E1EEF300"/>
    <w:lvl w:ilvl="0">
      <w:start w:val="8"/>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53397C12"/>
    <w:multiLevelType w:val="multilevel"/>
    <w:tmpl w:val="4AD07806"/>
    <w:lvl w:ilvl="0">
      <w:start w:val="6"/>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nsid w:val="5D2F2C41"/>
    <w:multiLevelType w:val="hybridMultilevel"/>
    <w:tmpl w:val="D72AEDF2"/>
    <w:lvl w:ilvl="0" w:tplc="DB96ACB4">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6">
    <w:nsid w:val="5DBA623E"/>
    <w:multiLevelType w:val="hybridMultilevel"/>
    <w:tmpl w:val="701C7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1EB39F9"/>
    <w:multiLevelType w:val="hybridMultilevel"/>
    <w:tmpl w:val="9F4CB0DC"/>
    <w:lvl w:ilvl="0" w:tplc="824ACA68">
      <w:start w:val="4"/>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5F06F95"/>
    <w:multiLevelType w:val="hybridMultilevel"/>
    <w:tmpl w:val="E528CA88"/>
    <w:lvl w:ilvl="0" w:tplc="711A6988">
      <w:start w:val="1"/>
      <w:numFmt w:val="bullet"/>
      <w:lvlText w:val=""/>
      <w:lvlJc w:val="left"/>
      <w:pPr>
        <w:tabs>
          <w:tab w:val="num" w:pos="360"/>
        </w:tabs>
        <w:ind w:left="360" w:hanging="360"/>
      </w:pPr>
      <w:rPr>
        <w:rFonts w:ascii="Wingdings" w:hAnsi="Wingdings" w:hint="default"/>
        <w:color w:val="auto"/>
      </w:rPr>
    </w:lvl>
    <w:lvl w:ilvl="1" w:tplc="DB96ACB4">
      <w:start w:val="8"/>
      <w:numFmt w:val="decimal"/>
      <w:lvlText w:val="%2)"/>
      <w:lvlJc w:val="left"/>
      <w:pPr>
        <w:tabs>
          <w:tab w:val="num" w:pos="1440"/>
        </w:tabs>
        <w:ind w:left="1440" w:hanging="360"/>
      </w:pPr>
      <w:rPr>
        <w:rFonts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7AE16668"/>
    <w:multiLevelType w:val="hybridMultilevel"/>
    <w:tmpl w:val="D0ECA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9"/>
  </w:num>
  <w:num w:numId="3">
    <w:abstractNumId w:val="15"/>
  </w:num>
  <w:num w:numId="4">
    <w:abstractNumId w:val="13"/>
  </w:num>
  <w:num w:numId="5">
    <w:abstractNumId w:val="12"/>
  </w:num>
  <w:num w:numId="6">
    <w:abstractNumId w:val="1"/>
  </w:num>
  <w:num w:numId="7">
    <w:abstractNumId w:val="17"/>
  </w:num>
  <w:num w:numId="8">
    <w:abstractNumId w:val="8"/>
  </w:num>
  <w:num w:numId="9">
    <w:abstractNumId w:val="14"/>
  </w:num>
  <w:num w:numId="10">
    <w:abstractNumId w:val="0"/>
  </w:num>
  <w:num w:numId="11">
    <w:abstractNumId w:val="16"/>
  </w:num>
  <w:num w:numId="12">
    <w:abstractNumId w:val="10"/>
  </w:num>
  <w:num w:numId="13">
    <w:abstractNumId w:val="4"/>
  </w:num>
  <w:num w:numId="14">
    <w:abstractNumId w:val="11"/>
  </w:num>
  <w:num w:numId="15">
    <w:abstractNumId w:val="7"/>
  </w:num>
  <w:num w:numId="16">
    <w:abstractNumId w:val="2"/>
  </w:num>
  <w:num w:numId="17">
    <w:abstractNumId w:val="3"/>
  </w:num>
  <w:num w:numId="18">
    <w:abstractNumId w:val="19"/>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0CA"/>
    <w:rsid w:val="00036BA0"/>
    <w:rsid w:val="00040544"/>
    <w:rsid w:val="00044132"/>
    <w:rsid w:val="000611E7"/>
    <w:rsid w:val="0008132A"/>
    <w:rsid w:val="0009281B"/>
    <w:rsid w:val="000A547D"/>
    <w:rsid w:val="000C4461"/>
    <w:rsid w:val="000D38FB"/>
    <w:rsid w:val="000E0D2E"/>
    <w:rsid w:val="001052CA"/>
    <w:rsid w:val="00124D93"/>
    <w:rsid w:val="00140FF9"/>
    <w:rsid w:val="00145417"/>
    <w:rsid w:val="00152F66"/>
    <w:rsid w:val="00157302"/>
    <w:rsid w:val="00165798"/>
    <w:rsid w:val="001924F9"/>
    <w:rsid w:val="0019331C"/>
    <w:rsid w:val="001A54C6"/>
    <w:rsid w:val="001A5C2E"/>
    <w:rsid w:val="001B7C34"/>
    <w:rsid w:val="001E7615"/>
    <w:rsid w:val="0022289F"/>
    <w:rsid w:val="0023167A"/>
    <w:rsid w:val="002475F6"/>
    <w:rsid w:val="00271C8C"/>
    <w:rsid w:val="00293520"/>
    <w:rsid w:val="002A681F"/>
    <w:rsid w:val="002B3FCB"/>
    <w:rsid w:val="002E654D"/>
    <w:rsid w:val="002F55D7"/>
    <w:rsid w:val="003162B5"/>
    <w:rsid w:val="003256A9"/>
    <w:rsid w:val="0032631A"/>
    <w:rsid w:val="0033314A"/>
    <w:rsid w:val="00352CD7"/>
    <w:rsid w:val="003563EA"/>
    <w:rsid w:val="00357464"/>
    <w:rsid w:val="00372012"/>
    <w:rsid w:val="00374DC4"/>
    <w:rsid w:val="0038464C"/>
    <w:rsid w:val="00384B8A"/>
    <w:rsid w:val="00390368"/>
    <w:rsid w:val="003D307D"/>
    <w:rsid w:val="003D38E9"/>
    <w:rsid w:val="004045A4"/>
    <w:rsid w:val="00433CB1"/>
    <w:rsid w:val="0044338D"/>
    <w:rsid w:val="00453294"/>
    <w:rsid w:val="0046485F"/>
    <w:rsid w:val="00473159"/>
    <w:rsid w:val="0047569E"/>
    <w:rsid w:val="004762BD"/>
    <w:rsid w:val="00480A06"/>
    <w:rsid w:val="004B03D6"/>
    <w:rsid w:val="004C4803"/>
    <w:rsid w:val="004C618D"/>
    <w:rsid w:val="004D734C"/>
    <w:rsid w:val="004F2A43"/>
    <w:rsid w:val="00511CF7"/>
    <w:rsid w:val="005211F9"/>
    <w:rsid w:val="00530CDE"/>
    <w:rsid w:val="00554EE6"/>
    <w:rsid w:val="005551EA"/>
    <w:rsid w:val="00584512"/>
    <w:rsid w:val="00592CF5"/>
    <w:rsid w:val="005955C3"/>
    <w:rsid w:val="005E1DAD"/>
    <w:rsid w:val="00602A23"/>
    <w:rsid w:val="00617238"/>
    <w:rsid w:val="006235D1"/>
    <w:rsid w:val="00625B87"/>
    <w:rsid w:val="0063721D"/>
    <w:rsid w:val="00663308"/>
    <w:rsid w:val="00663C33"/>
    <w:rsid w:val="006727B2"/>
    <w:rsid w:val="00680D3B"/>
    <w:rsid w:val="006B38E2"/>
    <w:rsid w:val="006B3AD5"/>
    <w:rsid w:val="006D18D9"/>
    <w:rsid w:val="0070724A"/>
    <w:rsid w:val="007076AE"/>
    <w:rsid w:val="007100CA"/>
    <w:rsid w:val="007173F5"/>
    <w:rsid w:val="0073063A"/>
    <w:rsid w:val="007308E9"/>
    <w:rsid w:val="00733A51"/>
    <w:rsid w:val="00765504"/>
    <w:rsid w:val="00765BB7"/>
    <w:rsid w:val="00765CF9"/>
    <w:rsid w:val="00772D49"/>
    <w:rsid w:val="00774EEF"/>
    <w:rsid w:val="00794D69"/>
    <w:rsid w:val="007A291E"/>
    <w:rsid w:val="007A6661"/>
    <w:rsid w:val="007B4EF0"/>
    <w:rsid w:val="007B5ECD"/>
    <w:rsid w:val="00814A49"/>
    <w:rsid w:val="00827D2B"/>
    <w:rsid w:val="00836986"/>
    <w:rsid w:val="008451E5"/>
    <w:rsid w:val="008659F8"/>
    <w:rsid w:val="008814BF"/>
    <w:rsid w:val="008B1C79"/>
    <w:rsid w:val="008C4CEA"/>
    <w:rsid w:val="008C6F13"/>
    <w:rsid w:val="008D55C3"/>
    <w:rsid w:val="008E0F6F"/>
    <w:rsid w:val="008E1FB8"/>
    <w:rsid w:val="008E2A3D"/>
    <w:rsid w:val="008F4D5A"/>
    <w:rsid w:val="008F77A8"/>
    <w:rsid w:val="00940C83"/>
    <w:rsid w:val="00960400"/>
    <w:rsid w:val="0096421B"/>
    <w:rsid w:val="0096707A"/>
    <w:rsid w:val="00980342"/>
    <w:rsid w:val="009F458D"/>
    <w:rsid w:val="009F547D"/>
    <w:rsid w:val="009F57D3"/>
    <w:rsid w:val="00A0205B"/>
    <w:rsid w:val="00A11484"/>
    <w:rsid w:val="00A13068"/>
    <w:rsid w:val="00A315C4"/>
    <w:rsid w:val="00A53814"/>
    <w:rsid w:val="00A774C3"/>
    <w:rsid w:val="00A90F82"/>
    <w:rsid w:val="00A9196A"/>
    <w:rsid w:val="00A935F7"/>
    <w:rsid w:val="00A96FDB"/>
    <w:rsid w:val="00AB125F"/>
    <w:rsid w:val="00AB56BC"/>
    <w:rsid w:val="00AE708C"/>
    <w:rsid w:val="00B52D93"/>
    <w:rsid w:val="00B62563"/>
    <w:rsid w:val="00B81A56"/>
    <w:rsid w:val="00B92A46"/>
    <w:rsid w:val="00B93843"/>
    <w:rsid w:val="00BA1FF5"/>
    <w:rsid w:val="00BA47E4"/>
    <w:rsid w:val="00BA55C1"/>
    <w:rsid w:val="00BB0BCE"/>
    <w:rsid w:val="00BB5538"/>
    <w:rsid w:val="00BB5FB8"/>
    <w:rsid w:val="00BC2416"/>
    <w:rsid w:val="00BE1106"/>
    <w:rsid w:val="00BE1C69"/>
    <w:rsid w:val="00BF5841"/>
    <w:rsid w:val="00C242B2"/>
    <w:rsid w:val="00C24D5F"/>
    <w:rsid w:val="00C33753"/>
    <w:rsid w:val="00C46D68"/>
    <w:rsid w:val="00C51B1F"/>
    <w:rsid w:val="00C5626D"/>
    <w:rsid w:val="00C71DD5"/>
    <w:rsid w:val="00C72ACC"/>
    <w:rsid w:val="00CA570C"/>
    <w:rsid w:val="00CE675C"/>
    <w:rsid w:val="00CF46BE"/>
    <w:rsid w:val="00CF71B4"/>
    <w:rsid w:val="00D02D70"/>
    <w:rsid w:val="00D05B05"/>
    <w:rsid w:val="00D06FC9"/>
    <w:rsid w:val="00D23B96"/>
    <w:rsid w:val="00D36A35"/>
    <w:rsid w:val="00D51F2D"/>
    <w:rsid w:val="00D54159"/>
    <w:rsid w:val="00D75A96"/>
    <w:rsid w:val="00D9010A"/>
    <w:rsid w:val="00DB4045"/>
    <w:rsid w:val="00DD46EC"/>
    <w:rsid w:val="00DF7FB8"/>
    <w:rsid w:val="00E00CD3"/>
    <w:rsid w:val="00E221DF"/>
    <w:rsid w:val="00E33142"/>
    <w:rsid w:val="00E572CF"/>
    <w:rsid w:val="00E62CF7"/>
    <w:rsid w:val="00E650E1"/>
    <w:rsid w:val="00E7614A"/>
    <w:rsid w:val="00E81D57"/>
    <w:rsid w:val="00E90F3F"/>
    <w:rsid w:val="00EB43C7"/>
    <w:rsid w:val="00EE40EB"/>
    <w:rsid w:val="00EE6DB4"/>
    <w:rsid w:val="00EF3B67"/>
    <w:rsid w:val="00F04272"/>
    <w:rsid w:val="00F06377"/>
    <w:rsid w:val="00F17A0C"/>
    <w:rsid w:val="00F2199A"/>
    <w:rsid w:val="00F436BF"/>
    <w:rsid w:val="00F665BC"/>
    <w:rsid w:val="00F721F7"/>
    <w:rsid w:val="00F91BE1"/>
    <w:rsid w:val="00F948F8"/>
    <w:rsid w:val="00FA6642"/>
    <w:rsid w:val="00FD36DE"/>
    <w:rsid w:val="00FD7E5E"/>
    <w:rsid w:val="00FF2F4E"/>
    <w:rsid w:val="00FF5EB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92A46"/>
    <w:rPr>
      <w:color w:val="0000FF"/>
      <w:u w:val="single"/>
    </w:rPr>
  </w:style>
  <w:style w:type="paragraph" w:styleId="FootnoteText">
    <w:name w:val="footnote text"/>
    <w:basedOn w:val="Normal"/>
    <w:semiHidden/>
    <w:rsid w:val="0046485F"/>
    <w:rPr>
      <w:sz w:val="20"/>
      <w:szCs w:val="20"/>
    </w:rPr>
  </w:style>
  <w:style w:type="character" w:styleId="FootnoteReference">
    <w:name w:val="footnote reference"/>
    <w:semiHidden/>
    <w:rsid w:val="0046485F"/>
    <w:rPr>
      <w:vertAlign w:val="superscript"/>
    </w:rPr>
  </w:style>
  <w:style w:type="paragraph" w:styleId="BalloonText">
    <w:name w:val="Balloon Text"/>
    <w:basedOn w:val="Normal"/>
    <w:semiHidden/>
    <w:rsid w:val="002B3FCB"/>
    <w:rPr>
      <w:rFonts w:ascii="Tahoma" w:hAnsi="Tahoma" w:cs="Tahoma"/>
      <w:sz w:val="16"/>
      <w:szCs w:val="16"/>
    </w:rPr>
  </w:style>
  <w:style w:type="character" w:styleId="CommentReference">
    <w:name w:val="annotation reference"/>
    <w:semiHidden/>
    <w:rsid w:val="002B3FCB"/>
    <w:rPr>
      <w:sz w:val="16"/>
      <w:szCs w:val="16"/>
    </w:rPr>
  </w:style>
  <w:style w:type="paragraph" w:styleId="CommentText">
    <w:name w:val="annotation text"/>
    <w:basedOn w:val="Normal"/>
    <w:semiHidden/>
    <w:rsid w:val="002B3FCB"/>
    <w:rPr>
      <w:sz w:val="20"/>
      <w:szCs w:val="20"/>
    </w:rPr>
  </w:style>
  <w:style w:type="paragraph" w:styleId="CommentSubject">
    <w:name w:val="annotation subject"/>
    <w:basedOn w:val="CommentText"/>
    <w:next w:val="CommentText"/>
    <w:semiHidden/>
    <w:rsid w:val="002B3FCB"/>
    <w:rPr>
      <w:b/>
      <w:bCs/>
    </w:rPr>
  </w:style>
  <w:style w:type="paragraph" w:styleId="Header">
    <w:name w:val="header"/>
    <w:basedOn w:val="Normal"/>
    <w:rsid w:val="008E1FB8"/>
    <w:pPr>
      <w:tabs>
        <w:tab w:val="center" w:pos="4320"/>
        <w:tab w:val="right" w:pos="8640"/>
      </w:tabs>
    </w:pPr>
  </w:style>
  <w:style w:type="paragraph" w:styleId="Footer">
    <w:name w:val="footer"/>
    <w:basedOn w:val="Normal"/>
    <w:link w:val="FooterChar"/>
    <w:uiPriority w:val="99"/>
    <w:rsid w:val="008E1FB8"/>
    <w:pPr>
      <w:tabs>
        <w:tab w:val="center" w:pos="4320"/>
        <w:tab w:val="right" w:pos="8640"/>
      </w:tabs>
    </w:pPr>
  </w:style>
  <w:style w:type="character" w:styleId="PageNumber">
    <w:name w:val="page number"/>
    <w:basedOn w:val="DefaultParagraphFont"/>
    <w:rsid w:val="003D307D"/>
  </w:style>
  <w:style w:type="paragraph" w:styleId="ListParagraph">
    <w:name w:val="List Paragraph"/>
    <w:basedOn w:val="Normal"/>
    <w:uiPriority w:val="34"/>
    <w:qFormat/>
    <w:rsid w:val="00BE1C69"/>
    <w:pPr>
      <w:ind w:left="720"/>
    </w:pPr>
  </w:style>
  <w:style w:type="paragraph" w:styleId="Revision">
    <w:name w:val="Revision"/>
    <w:hidden/>
    <w:uiPriority w:val="99"/>
    <w:semiHidden/>
    <w:rsid w:val="006B38E2"/>
    <w:rPr>
      <w:sz w:val="24"/>
      <w:szCs w:val="24"/>
      <w:lang w:val="en-GB" w:eastAsia="en-GB"/>
    </w:rPr>
  </w:style>
  <w:style w:type="character" w:customStyle="1" w:styleId="FooterChar">
    <w:name w:val="Footer Char"/>
    <w:basedOn w:val="DefaultParagraphFont"/>
    <w:link w:val="Footer"/>
    <w:uiPriority w:val="99"/>
    <w:rsid w:val="002F55D7"/>
    <w:rPr>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92A46"/>
    <w:rPr>
      <w:color w:val="0000FF"/>
      <w:u w:val="single"/>
    </w:rPr>
  </w:style>
  <w:style w:type="paragraph" w:styleId="FootnoteText">
    <w:name w:val="footnote text"/>
    <w:basedOn w:val="Normal"/>
    <w:semiHidden/>
    <w:rsid w:val="0046485F"/>
    <w:rPr>
      <w:sz w:val="20"/>
      <w:szCs w:val="20"/>
    </w:rPr>
  </w:style>
  <w:style w:type="character" w:styleId="FootnoteReference">
    <w:name w:val="footnote reference"/>
    <w:semiHidden/>
    <w:rsid w:val="0046485F"/>
    <w:rPr>
      <w:vertAlign w:val="superscript"/>
    </w:rPr>
  </w:style>
  <w:style w:type="paragraph" w:styleId="BalloonText">
    <w:name w:val="Balloon Text"/>
    <w:basedOn w:val="Normal"/>
    <w:semiHidden/>
    <w:rsid w:val="002B3FCB"/>
    <w:rPr>
      <w:rFonts w:ascii="Tahoma" w:hAnsi="Tahoma" w:cs="Tahoma"/>
      <w:sz w:val="16"/>
      <w:szCs w:val="16"/>
    </w:rPr>
  </w:style>
  <w:style w:type="character" w:styleId="CommentReference">
    <w:name w:val="annotation reference"/>
    <w:semiHidden/>
    <w:rsid w:val="002B3FCB"/>
    <w:rPr>
      <w:sz w:val="16"/>
      <w:szCs w:val="16"/>
    </w:rPr>
  </w:style>
  <w:style w:type="paragraph" w:styleId="CommentText">
    <w:name w:val="annotation text"/>
    <w:basedOn w:val="Normal"/>
    <w:semiHidden/>
    <w:rsid w:val="002B3FCB"/>
    <w:rPr>
      <w:sz w:val="20"/>
      <w:szCs w:val="20"/>
    </w:rPr>
  </w:style>
  <w:style w:type="paragraph" w:styleId="CommentSubject">
    <w:name w:val="annotation subject"/>
    <w:basedOn w:val="CommentText"/>
    <w:next w:val="CommentText"/>
    <w:semiHidden/>
    <w:rsid w:val="002B3FCB"/>
    <w:rPr>
      <w:b/>
      <w:bCs/>
    </w:rPr>
  </w:style>
  <w:style w:type="paragraph" w:styleId="Header">
    <w:name w:val="header"/>
    <w:basedOn w:val="Normal"/>
    <w:rsid w:val="008E1FB8"/>
    <w:pPr>
      <w:tabs>
        <w:tab w:val="center" w:pos="4320"/>
        <w:tab w:val="right" w:pos="8640"/>
      </w:tabs>
    </w:pPr>
  </w:style>
  <w:style w:type="paragraph" w:styleId="Footer">
    <w:name w:val="footer"/>
    <w:basedOn w:val="Normal"/>
    <w:link w:val="FooterChar"/>
    <w:uiPriority w:val="99"/>
    <w:rsid w:val="008E1FB8"/>
    <w:pPr>
      <w:tabs>
        <w:tab w:val="center" w:pos="4320"/>
        <w:tab w:val="right" w:pos="8640"/>
      </w:tabs>
    </w:pPr>
  </w:style>
  <w:style w:type="character" w:styleId="PageNumber">
    <w:name w:val="page number"/>
    <w:basedOn w:val="DefaultParagraphFont"/>
    <w:rsid w:val="003D307D"/>
  </w:style>
  <w:style w:type="paragraph" w:styleId="ListParagraph">
    <w:name w:val="List Paragraph"/>
    <w:basedOn w:val="Normal"/>
    <w:uiPriority w:val="34"/>
    <w:qFormat/>
    <w:rsid w:val="00BE1C69"/>
    <w:pPr>
      <w:ind w:left="720"/>
    </w:pPr>
  </w:style>
  <w:style w:type="paragraph" w:styleId="Revision">
    <w:name w:val="Revision"/>
    <w:hidden/>
    <w:uiPriority w:val="99"/>
    <w:semiHidden/>
    <w:rsid w:val="006B38E2"/>
    <w:rPr>
      <w:sz w:val="24"/>
      <w:szCs w:val="24"/>
      <w:lang w:val="en-GB" w:eastAsia="en-GB"/>
    </w:rPr>
  </w:style>
  <w:style w:type="character" w:customStyle="1" w:styleId="FooterChar">
    <w:name w:val="Footer Char"/>
    <w:basedOn w:val="DefaultParagraphFont"/>
    <w:link w:val="Footer"/>
    <w:uiPriority w:val="99"/>
    <w:rsid w:val="002F55D7"/>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oeberj@who.int" TargetMode="External"/><Relationship Id="rId18"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mailto:vergest@who.int" TargetMode="External"/><Relationship Id="rId17" Type="http://schemas.openxmlformats.org/officeDocument/2006/relationships/image" Target="media/image2.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loeberj@who.int" TargetMode="External"/><Relationship Id="rId20" Type="http://schemas.openxmlformats.org/officeDocument/2006/relationships/hyperlink" Target="http://www.stoptb.org/g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optb.org/gdf/drugsupply/procurement_notice.asp"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vergest@who.int" TargetMode="External"/><Relationship Id="rId23" Type="http://schemas.openxmlformats.org/officeDocument/2006/relationships/footer" Target="footer1.xml"/><Relationship Id="rId10" Type="http://schemas.openxmlformats.org/officeDocument/2006/relationships/hyperlink" Target="http://www.stoptb.org/gdf/" TargetMode="External"/><Relationship Id="rId19" Type="http://schemas.openxmlformats.org/officeDocument/2006/relationships/hyperlink" Target="mailto:gdf@stoptb.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stoptb.org/gdf/drugsupply/procurement_notice.asp"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2E0FA9-81E2-485E-BF6B-BE06E439A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1574</Words>
  <Characters>8972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General Notice</vt:lpstr>
    </vt:vector>
  </TitlesOfParts>
  <Company>Retired</Company>
  <LinksUpToDate>false</LinksUpToDate>
  <CharactersWithSpaces>10525</CharactersWithSpaces>
  <SharedDoc>false</SharedDoc>
  <HLinks>
    <vt:vector size="48" baseType="variant">
      <vt:variant>
        <vt:i4>5505113</vt:i4>
      </vt:variant>
      <vt:variant>
        <vt:i4>21</vt:i4>
      </vt:variant>
      <vt:variant>
        <vt:i4>0</vt:i4>
      </vt:variant>
      <vt:variant>
        <vt:i4>5</vt:i4>
      </vt:variant>
      <vt:variant>
        <vt:lpwstr>http://www.stoptb.org/gdf</vt:lpwstr>
      </vt:variant>
      <vt:variant>
        <vt:lpwstr/>
      </vt:variant>
      <vt:variant>
        <vt:i4>5701735</vt:i4>
      </vt:variant>
      <vt:variant>
        <vt:i4>18</vt:i4>
      </vt:variant>
      <vt:variant>
        <vt:i4>0</vt:i4>
      </vt:variant>
      <vt:variant>
        <vt:i4>5</vt:i4>
      </vt:variant>
      <vt:variant>
        <vt:lpwstr>mailto:gdf@stoptb.org</vt:lpwstr>
      </vt:variant>
      <vt:variant>
        <vt:lpwstr/>
      </vt:variant>
      <vt:variant>
        <vt:i4>6357085</vt:i4>
      </vt:variant>
      <vt:variant>
        <vt:i4>15</vt:i4>
      </vt:variant>
      <vt:variant>
        <vt:i4>0</vt:i4>
      </vt:variant>
      <vt:variant>
        <vt:i4>5</vt:i4>
      </vt:variant>
      <vt:variant>
        <vt:lpwstr>mailto:loeberj@who.int</vt:lpwstr>
      </vt:variant>
      <vt:variant>
        <vt:lpwstr/>
      </vt:variant>
      <vt:variant>
        <vt:i4>393323</vt:i4>
      </vt:variant>
      <vt:variant>
        <vt:i4>12</vt:i4>
      </vt:variant>
      <vt:variant>
        <vt:i4>0</vt:i4>
      </vt:variant>
      <vt:variant>
        <vt:i4>5</vt:i4>
      </vt:variant>
      <vt:variant>
        <vt:lpwstr>http://www.stoptb.org/gdf/drugsupply/resource_materials.asp</vt:lpwstr>
      </vt:variant>
      <vt:variant>
        <vt:lpwstr/>
      </vt:variant>
      <vt:variant>
        <vt:i4>2621523</vt:i4>
      </vt:variant>
      <vt:variant>
        <vt:i4>9</vt:i4>
      </vt:variant>
      <vt:variant>
        <vt:i4>0</vt:i4>
      </vt:variant>
      <vt:variant>
        <vt:i4>5</vt:i4>
      </vt:variant>
      <vt:variant>
        <vt:lpwstr>http://www.stoptb.org/gdf/drugsupply/procurement_notice.asp</vt:lpwstr>
      </vt:variant>
      <vt:variant>
        <vt:lpwstr/>
      </vt:variant>
      <vt:variant>
        <vt:i4>5242919</vt:i4>
      </vt:variant>
      <vt:variant>
        <vt:i4>6</vt:i4>
      </vt:variant>
      <vt:variant>
        <vt:i4>0</vt:i4>
      </vt:variant>
      <vt:variant>
        <vt:i4>5</vt:i4>
      </vt:variant>
      <vt:variant>
        <vt:lpwstr>http://www.stoptb.org/wg/gli/assets/documents/27_auramine_staining_fin.doc</vt:lpwstr>
      </vt:variant>
      <vt:variant>
        <vt:lpwstr/>
      </vt:variant>
      <vt:variant>
        <vt:i4>1704020</vt:i4>
      </vt:variant>
      <vt:variant>
        <vt:i4>3</vt:i4>
      </vt:variant>
      <vt:variant>
        <vt:i4>0</vt:i4>
      </vt:variant>
      <vt:variant>
        <vt:i4>5</vt:i4>
      </vt:variant>
      <vt:variant>
        <vt:lpwstr>http://www.stoptb.org/wg/gli/assets/documents/22_reagents_for_microscopy_fin.doc</vt:lpwstr>
      </vt:variant>
      <vt:variant>
        <vt:lpwstr/>
      </vt:variant>
      <vt:variant>
        <vt:i4>8060991</vt:i4>
      </vt:variant>
      <vt:variant>
        <vt:i4>0</vt:i4>
      </vt:variant>
      <vt:variant>
        <vt:i4>0</vt:i4>
      </vt:variant>
      <vt:variant>
        <vt:i4>5</vt:i4>
      </vt:variant>
      <vt:variant>
        <vt:lpwstr>http://www.stoptb.org/gdf/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Notice</dc:title>
  <dc:creator>Peter Evans</dc:creator>
  <cp:lastModifiedBy>VERGES, Thomas</cp:lastModifiedBy>
  <cp:revision>2</cp:revision>
  <cp:lastPrinted>2013-03-06T13:33:00Z</cp:lastPrinted>
  <dcterms:created xsi:type="dcterms:W3CDTF">2013-03-15T13:10:00Z</dcterms:created>
  <dcterms:modified xsi:type="dcterms:W3CDTF">2013-03-15T13:10:00Z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